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outlineLvl w:val="0"/>
        <w:rPr>
          <w:rFonts w:hint="eastAsia" w:ascii="宋体" w:hAnsi="宋体" w:eastAsia="宋体" w:cs="Calibri"/>
          <w:b/>
          <w:bCs/>
          <w:szCs w:val="21"/>
        </w:rPr>
      </w:pPr>
      <w:bookmarkStart w:id="0" w:name="_Toc512613206"/>
      <w:bookmarkStart w:id="1" w:name="_Toc502845064"/>
      <w:r>
        <w:rPr>
          <w:rFonts w:hint="eastAsia" w:ascii="宋体" w:hAnsi="宋体"/>
          <w:b/>
          <w:bCs/>
          <w:kern w:val="44"/>
          <w:sz w:val="32"/>
          <w:szCs w:val="32"/>
        </w:rPr>
        <w:t>用户需求书</w:t>
      </w:r>
      <w:bookmarkEnd w:id="0"/>
      <w:bookmarkEnd w:id="1"/>
    </w:p>
    <w:p>
      <w:pPr>
        <w:pStyle w:val="8"/>
        <w:numPr>
          <w:ilvl w:val="0"/>
          <w:numId w:val="2"/>
        </w:numPr>
        <w:tabs>
          <w:tab w:val="left" w:pos="540"/>
        </w:tabs>
        <w:adjustRightInd w:val="0"/>
        <w:spacing w:line="360" w:lineRule="auto"/>
        <w:rPr>
          <w:rFonts w:hint="eastAsia" w:ascii="宋体" w:hAnsi="宋体" w:eastAsia="宋体" w:cs="宋体"/>
          <w:b/>
          <w:sz w:val="21"/>
          <w:szCs w:val="21"/>
        </w:rPr>
      </w:pPr>
      <w:r>
        <w:rPr>
          <w:rFonts w:hint="eastAsia" w:ascii="宋体" w:hAnsi="宋体" w:eastAsia="宋体" w:cs="宋体"/>
          <w:b/>
          <w:sz w:val="21"/>
          <w:szCs w:val="21"/>
        </w:rPr>
        <w:t xml:space="preserve">项目一览表 </w:t>
      </w:r>
    </w:p>
    <w:tbl>
      <w:tblPr>
        <w:tblStyle w:val="17"/>
        <w:tblW w:w="9766"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529"/>
        <w:gridCol w:w="709"/>
        <w:gridCol w:w="3402"/>
        <w:gridCol w:w="212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13" w:hRule="atLeast"/>
          <w:jc w:val="center"/>
        </w:trPr>
        <w:tc>
          <w:tcPr>
            <w:tcW w:w="3529" w:type="dxa"/>
            <w:tcBorders>
              <w:top w:val="single" w:color="auto" w:sz="12" w:space="0"/>
              <w:left w:val="single" w:color="auto" w:sz="12" w:space="0"/>
              <w:bottom w:val="single" w:color="auto" w:sz="2" w:space="0"/>
              <w:right w:val="single" w:color="auto" w:sz="4" w:space="0"/>
            </w:tcBorders>
            <w:shd w:val="clear" w:color="auto" w:fill="EEECE1"/>
            <w:vAlign w:val="center"/>
          </w:tcPr>
          <w:p>
            <w:pPr>
              <w:spacing w:line="360" w:lineRule="auto"/>
              <w:jc w:val="center"/>
              <w:rPr>
                <w:rFonts w:hint="eastAsia" w:ascii="宋体" w:hAnsi="宋体" w:eastAsia="宋体" w:cs="宋体"/>
                <w:b/>
                <w:color w:val="000000"/>
                <w:szCs w:val="21"/>
              </w:rPr>
            </w:pPr>
            <w:r>
              <w:rPr>
                <w:rFonts w:hint="eastAsia" w:ascii="宋体" w:hAnsi="宋体" w:eastAsia="宋体" w:cs="宋体"/>
                <w:b/>
                <w:color w:val="000000"/>
                <w:szCs w:val="21"/>
              </w:rPr>
              <w:t>项目名称</w:t>
            </w:r>
          </w:p>
        </w:tc>
        <w:tc>
          <w:tcPr>
            <w:tcW w:w="709" w:type="dxa"/>
            <w:tcBorders>
              <w:top w:val="single" w:color="auto" w:sz="12" w:space="0"/>
              <w:left w:val="single" w:color="auto" w:sz="4" w:space="0"/>
              <w:bottom w:val="single" w:color="auto" w:sz="2" w:space="0"/>
              <w:right w:val="single" w:color="auto" w:sz="4" w:space="0"/>
            </w:tcBorders>
            <w:shd w:val="clear" w:color="auto" w:fill="EEECE1"/>
            <w:vAlign w:val="center"/>
          </w:tcPr>
          <w:p>
            <w:pPr>
              <w:spacing w:line="360" w:lineRule="auto"/>
              <w:jc w:val="center"/>
              <w:rPr>
                <w:rFonts w:hint="eastAsia" w:ascii="宋体" w:hAnsi="宋体" w:eastAsia="宋体" w:cs="宋体"/>
                <w:b/>
                <w:szCs w:val="21"/>
              </w:rPr>
            </w:pPr>
            <w:r>
              <w:rPr>
                <w:rFonts w:hint="eastAsia" w:ascii="宋体" w:hAnsi="宋体" w:eastAsia="宋体" w:cs="宋体"/>
                <w:b/>
                <w:szCs w:val="21"/>
              </w:rPr>
              <w:t>数量</w:t>
            </w:r>
          </w:p>
        </w:tc>
        <w:tc>
          <w:tcPr>
            <w:tcW w:w="3402" w:type="dxa"/>
            <w:tcBorders>
              <w:top w:val="single" w:color="auto" w:sz="12" w:space="0"/>
              <w:left w:val="single" w:color="auto" w:sz="4" w:space="0"/>
              <w:bottom w:val="single" w:color="auto" w:sz="2" w:space="0"/>
              <w:right w:val="single" w:color="auto" w:sz="4" w:space="0"/>
            </w:tcBorders>
            <w:shd w:val="clear" w:color="auto" w:fill="EEECE1"/>
            <w:vAlign w:val="center"/>
          </w:tcPr>
          <w:p>
            <w:pPr>
              <w:spacing w:line="276" w:lineRule="auto"/>
              <w:jc w:val="center"/>
              <w:rPr>
                <w:rFonts w:hint="eastAsia" w:ascii="宋体" w:hAnsi="宋体" w:eastAsia="宋体" w:cs="宋体"/>
                <w:b/>
                <w:color w:val="FF0000"/>
                <w:szCs w:val="21"/>
              </w:rPr>
            </w:pPr>
            <w:r>
              <w:rPr>
                <w:rFonts w:hint="eastAsia" w:ascii="宋体" w:hAnsi="宋体" w:eastAsia="宋体" w:cs="宋体"/>
                <w:b/>
                <w:szCs w:val="21"/>
              </w:rPr>
              <w:t>安装时间</w:t>
            </w:r>
          </w:p>
        </w:tc>
        <w:tc>
          <w:tcPr>
            <w:tcW w:w="2126" w:type="dxa"/>
            <w:tcBorders>
              <w:top w:val="single" w:color="auto" w:sz="12" w:space="0"/>
              <w:left w:val="single" w:color="auto" w:sz="4" w:space="0"/>
              <w:bottom w:val="single" w:color="auto" w:sz="2" w:space="0"/>
              <w:right w:val="single" w:color="auto" w:sz="12" w:space="0"/>
            </w:tcBorders>
            <w:shd w:val="clear" w:color="auto" w:fill="EEECE1"/>
            <w:vAlign w:val="center"/>
          </w:tcPr>
          <w:p>
            <w:pPr>
              <w:spacing w:line="276" w:lineRule="auto"/>
              <w:jc w:val="center"/>
              <w:rPr>
                <w:rFonts w:hint="eastAsia" w:ascii="宋体" w:hAnsi="宋体" w:eastAsia="宋体" w:cs="宋体"/>
                <w:b/>
                <w:szCs w:val="21"/>
              </w:rPr>
            </w:pPr>
            <w:r>
              <w:rPr>
                <w:rFonts w:hint="eastAsia" w:ascii="宋体" w:hAnsi="宋体" w:eastAsia="宋体" w:cs="宋体"/>
                <w:b/>
                <w:szCs w:val="21"/>
              </w:rPr>
              <w:t>最高限价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042" w:hRule="atLeast"/>
          <w:jc w:val="center"/>
        </w:trPr>
        <w:tc>
          <w:tcPr>
            <w:tcW w:w="3529" w:type="dxa"/>
            <w:tcBorders>
              <w:top w:val="single" w:color="auto" w:sz="2" w:space="0"/>
              <w:left w:val="single" w:color="auto" w:sz="12" w:space="0"/>
              <w:bottom w:val="single" w:color="auto" w:sz="2" w:space="0"/>
              <w:right w:val="single" w:color="auto" w:sz="4" w:space="0"/>
            </w:tcBorders>
            <w:vAlign w:val="center"/>
          </w:tcPr>
          <w:p>
            <w:pPr>
              <w:spacing w:line="360" w:lineRule="auto"/>
              <w:jc w:val="center"/>
              <w:rPr>
                <w:rFonts w:hint="eastAsia" w:ascii="宋体" w:hAnsi="宋体" w:eastAsia="宋体" w:cs="宋体"/>
                <w:color w:val="000000"/>
                <w:szCs w:val="21"/>
              </w:rPr>
            </w:pPr>
            <w:bookmarkStart w:id="2" w:name="_Hlk196470463"/>
            <w:r>
              <w:rPr>
                <w:rFonts w:hint="eastAsia" w:ascii="宋体" w:hAnsi="宋体" w:eastAsia="宋体" w:cs="宋体"/>
                <w:color w:val="000000"/>
                <w:szCs w:val="21"/>
              </w:rPr>
              <w:t>广东省广裕集团</w:t>
            </w:r>
            <w:r>
              <w:rPr>
                <w:rFonts w:hint="eastAsia" w:ascii="宋体" w:hAnsi="宋体" w:eastAsia="宋体" w:cs="宋体"/>
                <w:color w:val="000000"/>
                <w:szCs w:val="21"/>
                <w:lang w:val="en-US" w:eastAsia="zh-CN"/>
              </w:rPr>
              <w:t>韶关韶城</w:t>
            </w:r>
            <w:r>
              <w:rPr>
                <w:rFonts w:hint="eastAsia" w:ascii="宋体" w:hAnsi="宋体" w:eastAsia="宋体" w:cs="宋体"/>
                <w:color w:val="000000"/>
                <w:szCs w:val="21"/>
              </w:rPr>
              <w:t>实业有限责任公司</w:t>
            </w:r>
            <w:bookmarkEnd w:id="2"/>
            <w:r>
              <w:rPr>
                <w:rFonts w:hint="eastAsia" w:ascii="宋体" w:hAnsi="宋体" w:eastAsia="宋体" w:cs="宋体"/>
                <w:color w:val="000000"/>
                <w:szCs w:val="21"/>
              </w:rPr>
              <w:t>柜式空调采购</w:t>
            </w:r>
            <w:r>
              <w:rPr>
                <w:rFonts w:hint="eastAsia" w:ascii="宋体" w:hAnsi="宋体" w:eastAsia="宋体" w:cs="宋体"/>
                <w:color w:val="000000"/>
                <w:szCs w:val="21"/>
                <w:lang w:eastAsia="zh-CN"/>
              </w:rPr>
              <w:t>及安装</w:t>
            </w:r>
            <w:r>
              <w:rPr>
                <w:rFonts w:hint="eastAsia" w:ascii="宋体" w:hAnsi="宋体" w:eastAsia="宋体" w:cs="宋体"/>
                <w:color w:val="000000"/>
                <w:szCs w:val="21"/>
              </w:rPr>
              <w:t>项目</w:t>
            </w:r>
          </w:p>
        </w:tc>
        <w:tc>
          <w:tcPr>
            <w:tcW w:w="709" w:type="dxa"/>
            <w:tcBorders>
              <w:top w:val="single" w:color="auto" w:sz="2" w:space="0"/>
              <w:left w:val="single" w:color="auto" w:sz="4" w:space="0"/>
              <w:bottom w:val="single" w:color="auto" w:sz="2" w:space="0"/>
              <w:right w:val="single" w:color="auto" w:sz="4" w:space="0"/>
            </w:tcBorders>
            <w:vAlign w:val="center"/>
          </w:tcPr>
          <w:p>
            <w:pPr>
              <w:autoSpaceDE w:val="0"/>
              <w:spacing w:line="360" w:lineRule="auto"/>
              <w:jc w:val="center"/>
              <w:rPr>
                <w:rFonts w:hint="eastAsia" w:ascii="宋体" w:hAnsi="宋体" w:eastAsia="宋体" w:cs="Times New Roman"/>
                <w:bCs/>
                <w:szCs w:val="21"/>
              </w:rPr>
            </w:pPr>
            <w:r>
              <w:rPr>
                <w:rFonts w:hint="eastAsia" w:ascii="宋体" w:hAnsi="宋体" w:eastAsia="宋体" w:cs="Times New Roman"/>
                <w:bCs/>
                <w:szCs w:val="21"/>
                <w:lang w:val="en-US" w:eastAsia="zh-CN"/>
              </w:rPr>
              <w:t>10</w:t>
            </w:r>
            <w:r>
              <w:rPr>
                <w:rFonts w:hint="eastAsia" w:ascii="宋体" w:hAnsi="宋体" w:eastAsia="宋体" w:cs="Times New Roman"/>
                <w:bCs/>
                <w:szCs w:val="21"/>
              </w:rPr>
              <w:t>台</w:t>
            </w:r>
          </w:p>
        </w:tc>
        <w:tc>
          <w:tcPr>
            <w:tcW w:w="3402" w:type="dxa"/>
            <w:tcBorders>
              <w:top w:val="single" w:color="auto" w:sz="2" w:space="0"/>
              <w:left w:val="single" w:color="auto" w:sz="4" w:space="0"/>
              <w:bottom w:val="single" w:color="auto" w:sz="2" w:space="0"/>
              <w:right w:val="single" w:color="auto" w:sz="4" w:space="0"/>
            </w:tcBorders>
            <w:vAlign w:val="center"/>
          </w:tcPr>
          <w:p>
            <w:pPr>
              <w:keepNext/>
              <w:autoSpaceDE w:val="0"/>
              <w:adjustRightInd w:val="0"/>
              <w:snapToGrid w:val="0"/>
              <w:spacing w:line="360" w:lineRule="auto"/>
              <w:jc w:val="center"/>
              <w:rPr>
                <w:rFonts w:hint="eastAsia" w:ascii="宋体" w:hAnsi="宋体" w:eastAsia="宋体" w:cs="Times New Roman"/>
                <w:color w:val="000000"/>
                <w:szCs w:val="21"/>
              </w:rPr>
            </w:pPr>
            <w:r>
              <w:rPr>
                <w:rFonts w:hint="eastAsia" w:ascii="宋体" w:hAnsi="宋体" w:eastAsia="宋体" w:cs="宋体"/>
                <w:color w:val="000000"/>
                <w:szCs w:val="21"/>
              </w:rPr>
              <w:t>签订合同后</w:t>
            </w:r>
            <w:r>
              <w:rPr>
                <w:rFonts w:hint="eastAsia" w:ascii="宋体" w:hAnsi="宋体" w:eastAsia="宋体" w:cs="宋体"/>
                <w:color w:val="000000"/>
                <w:szCs w:val="21"/>
                <w:lang w:val="en-US" w:eastAsia="zh-CN"/>
              </w:rPr>
              <w:t>10</w:t>
            </w:r>
            <w:r>
              <w:rPr>
                <w:rFonts w:hint="eastAsia" w:ascii="宋体" w:hAnsi="宋体" w:eastAsia="宋体" w:cs="宋体"/>
                <w:color w:val="000000"/>
                <w:szCs w:val="21"/>
              </w:rPr>
              <w:t>日内，成交供应商交付全部货物并按要求完成安装</w:t>
            </w:r>
          </w:p>
        </w:tc>
        <w:tc>
          <w:tcPr>
            <w:tcW w:w="2126" w:type="dxa"/>
            <w:tcBorders>
              <w:top w:val="single" w:color="auto" w:sz="2" w:space="0"/>
              <w:left w:val="single" w:color="auto" w:sz="4" w:space="0"/>
              <w:bottom w:val="single" w:color="auto" w:sz="2" w:space="0"/>
              <w:right w:val="single" w:color="auto" w:sz="12" w:space="0"/>
            </w:tcBorders>
            <w:vAlign w:val="center"/>
          </w:tcPr>
          <w:p>
            <w:pPr>
              <w:autoSpaceDE w:val="0"/>
              <w:spacing w:line="360" w:lineRule="auto"/>
              <w:jc w:val="center"/>
              <w:rPr>
                <w:rFonts w:hint="eastAsia" w:ascii="宋体" w:hAnsi="宋体" w:eastAsia="宋体" w:cs="Times New Roman"/>
                <w:color w:val="000000"/>
                <w:szCs w:val="21"/>
              </w:rPr>
            </w:pPr>
            <w:r>
              <w:rPr>
                <w:rFonts w:hint="eastAsia" w:ascii="宋体" w:hAnsi="宋体" w:eastAsia="宋体" w:cs="Times New Roman"/>
                <w:color w:val="000000"/>
                <w:szCs w:val="21"/>
              </w:rPr>
              <w:t>人民</w:t>
            </w:r>
            <w:r>
              <w:rPr>
                <w:rFonts w:hint="eastAsia" w:ascii="宋体" w:hAnsi="宋体" w:eastAsia="宋体" w:cs="Times New Roman"/>
                <w:szCs w:val="21"/>
              </w:rPr>
              <w:t>币</w:t>
            </w:r>
            <w:r>
              <w:rPr>
                <w:rFonts w:hint="eastAsia" w:ascii="宋体" w:hAnsi="宋体" w:eastAsia="宋体" w:cs="仿宋_GB2312"/>
                <w:szCs w:val="21"/>
                <w:lang w:val="en-US" w:eastAsia="zh-CN"/>
              </w:rPr>
              <w:t>114130</w:t>
            </w:r>
            <w:r>
              <w:rPr>
                <w:rFonts w:hint="eastAsia" w:ascii="宋体" w:hAnsi="宋体" w:eastAsia="宋体" w:cs="Times New Roman"/>
                <w:color w:val="000000"/>
                <w:szCs w:val="21"/>
              </w:rPr>
              <w:t>元</w:t>
            </w:r>
          </w:p>
        </w:tc>
      </w:tr>
    </w:tbl>
    <w:p>
      <w:pPr>
        <w:spacing w:line="360" w:lineRule="auto"/>
        <w:rPr>
          <w:rFonts w:hint="eastAsia" w:ascii="宋体" w:hAnsi="宋体" w:eastAsia="宋体" w:cs="Times New Roman"/>
          <w:kern w:val="0"/>
          <w:szCs w:val="21"/>
        </w:rPr>
      </w:pPr>
      <w:bookmarkStart w:id="3" w:name="OLE_LINK1"/>
      <w:r>
        <w:rPr>
          <w:rFonts w:hint="eastAsia" w:ascii="宋体" w:hAnsi="宋体" w:eastAsia="宋体" w:cs="Times New Roman"/>
          <w:szCs w:val="21"/>
        </w:rPr>
        <w:t>备注：本项目最高限价包括空调的购置费、运输费、高处作业费、吊车费、辅材及打孔费、安装调试费、试运行、产品检验检测、验收、质保期售后服务、全额含税发票等所有费用。</w:t>
      </w:r>
    </w:p>
    <w:p>
      <w:pPr>
        <w:tabs>
          <w:tab w:val="left" w:pos="540"/>
        </w:tabs>
        <w:adjustRightInd w:val="0"/>
        <w:snapToGrid w:val="0"/>
        <w:spacing w:line="360" w:lineRule="auto"/>
        <w:rPr>
          <w:rFonts w:hint="eastAsia" w:ascii="宋体" w:hAnsi="宋体" w:eastAsia="宋体" w:cs="Times New Roman"/>
          <w:kern w:val="0"/>
          <w:szCs w:val="21"/>
        </w:rPr>
      </w:pPr>
      <w:r>
        <w:rPr>
          <w:rFonts w:hint="eastAsia" w:ascii="宋体" w:hAnsi="宋体" w:eastAsia="宋体" w:cs="宋体"/>
          <w:b/>
          <w:bCs/>
          <w:color w:val="000000"/>
          <w:kern w:val="0"/>
          <w:szCs w:val="21"/>
        </w:rPr>
        <w:t>二、货物详细要求</w:t>
      </w:r>
    </w:p>
    <w:tbl>
      <w:tblPr>
        <w:tblStyle w:val="17"/>
        <w:tblW w:w="10485" w:type="dxa"/>
        <w:jc w:val="center"/>
        <w:tblInd w:w="0" w:type="dxa"/>
        <w:tblLayout w:type="fixed"/>
        <w:tblCellMar>
          <w:top w:w="0" w:type="dxa"/>
          <w:left w:w="108" w:type="dxa"/>
          <w:bottom w:w="0" w:type="dxa"/>
          <w:right w:w="108" w:type="dxa"/>
        </w:tblCellMar>
      </w:tblPr>
      <w:tblGrid>
        <w:gridCol w:w="704"/>
        <w:gridCol w:w="5"/>
        <w:gridCol w:w="2121"/>
        <w:gridCol w:w="709"/>
        <w:gridCol w:w="709"/>
        <w:gridCol w:w="2552"/>
        <w:gridCol w:w="1275"/>
        <w:gridCol w:w="1276"/>
        <w:gridCol w:w="1134"/>
      </w:tblGrid>
      <w:tr>
        <w:tblPrEx>
          <w:tblLayout w:type="fixed"/>
          <w:tblCellMar>
            <w:top w:w="0" w:type="dxa"/>
            <w:left w:w="108" w:type="dxa"/>
            <w:bottom w:w="0" w:type="dxa"/>
            <w:right w:w="108" w:type="dxa"/>
          </w:tblCellMar>
        </w:tblPrEx>
        <w:trPr>
          <w:trHeight w:val="61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widowControl/>
              <w:spacing w:after="0" w:line="360" w:lineRule="auto"/>
              <w:jc w:val="center"/>
              <w:textAlignment w:val="center"/>
              <w:rPr>
                <w:rFonts w:hint="eastAsia" w:ascii="宋体" w:hAnsi="宋体" w:eastAsia="宋体" w:cs="仿宋_GB2312"/>
                <w:b/>
                <w:bCs/>
                <w:szCs w:val="21"/>
              </w:rPr>
            </w:pPr>
            <w:r>
              <w:rPr>
                <w:rFonts w:hint="eastAsia" w:ascii="宋体" w:hAnsi="宋体" w:eastAsia="宋体" w:cs="仿宋_GB2312"/>
                <w:b/>
                <w:bCs/>
                <w:szCs w:val="21"/>
              </w:rPr>
              <w:t>项目</w:t>
            </w:r>
          </w:p>
        </w:tc>
        <w:tc>
          <w:tcPr>
            <w:tcW w:w="2126" w:type="dxa"/>
            <w:gridSpan w:val="2"/>
            <w:tcBorders>
              <w:top w:val="single" w:color="000000" w:sz="4" w:space="0"/>
              <w:left w:val="single" w:color="000000" w:sz="4" w:space="0"/>
              <w:bottom w:val="single" w:color="000000" w:sz="4" w:space="0"/>
              <w:right w:val="single" w:color="000000" w:sz="4" w:space="0"/>
            </w:tcBorders>
            <w:vAlign w:val="center"/>
          </w:tcPr>
          <w:p>
            <w:pPr>
              <w:widowControl/>
              <w:spacing w:after="0" w:line="360" w:lineRule="auto"/>
              <w:jc w:val="center"/>
              <w:textAlignment w:val="center"/>
              <w:rPr>
                <w:rFonts w:hint="eastAsia" w:ascii="宋体" w:hAnsi="宋体" w:eastAsia="宋体" w:cs="仿宋_GB2312"/>
                <w:b/>
                <w:bCs/>
                <w:szCs w:val="21"/>
              </w:rPr>
            </w:pPr>
            <w:r>
              <w:rPr>
                <w:rFonts w:hint="eastAsia" w:ascii="宋体" w:hAnsi="宋体" w:eastAsia="宋体" w:cs="仿宋_GB2312"/>
                <w:b/>
                <w:bCs/>
                <w:szCs w:val="21"/>
              </w:rPr>
              <w:t>货物名称</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pacing w:after="0" w:line="360" w:lineRule="auto"/>
              <w:jc w:val="center"/>
              <w:textAlignment w:val="center"/>
              <w:rPr>
                <w:rFonts w:hint="eastAsia" w:ascii="宋体" w:hAnsi="宋体" w:eastAsia="宋体" w:cs="仿宋_GB2312"/>
                <w:b/>
                <w:bCs/>
                <w:szCs w:val="21"/>
                <w:lang w:val="en-US" w:eastAsia="zh-CN"/>
              </w:rPr>
            </w:pPr>
            <w:r>
              <w:rPr>
                <w:rFonts w:hint="eastAsia" w:ascii="宋体" w:hAnsi="宋体" w:eastAsia="宋体" w:cs="仿宋_GB2312"/>
                <w:b/>
                <w:bCs/>
                <w:szCs w:val="21"/>
                <w:lang w:val="en-US" w:eastAsia="zh-CN"/>
              </w:rPr>
              <w:t>单位</w:t>
            </w:r>
          </w:p>
        </w:tc>
        <w:tc>
          <w:tcPr>
            <w:tcW w:w="709" w:type="dxa"/>
            <w:tcBorders>
              <w:top w:val="single" w:color="000000" w:sz="4" w:space="0"/>
              <w:left w:val="single" w:color="000000" w:sz="4" w:space="0"/>
              <w:bottom w:val="single" w:color="000000" w:sz="4" w:space="0"/>
              <w:right w:val="single" w:color="000000" w:sz="4" w:space="0"/>
            </w:tcBorders>
            <w:vAlign w:val="center"/>
          </w:tcPr>
          <w:p>
            <w:pPr>
              <w:widowControl/>
              <w:spacing w:after="0" w:line="360" w:lineRule="auto"/>
              <w:jc w:val="center"/>
              <w:textAlignment w:val="center"/>
              <w:rPr>
                <w:rFonts w:hint="eastAsia" w:ascii="宋体" w:hAnsi="宋体" w:eastAsia="宋体" w:cs="仿宋_GB2312"/>
                <w:b/>
                <w:bCs/>
                <w:szCs w:val="21"/>
              </w:rPr>
            </w:pPr>
            <w:r>
              <w:rPr>
                <w:rFonts w:hint="eastAsia" w:ascii="宋体" w:hAnsi="宋体" w:eastAsia="宋体" w:cs="仿宋_GB2312"/>
                <w:b/>
                <w:bCs/>
                <w:szCs w:val="21"/>
              </w:rPr>
              <w:t>数量</w:t>
            </w:r>
          </w:p>
        </w:tc>
        <w:tc>
          <w:tcPr>
            <w:tcW w:w="2552" w:type="dxa"/>
            <w:tcBorders>
              <w:top w:val="single" w:color="000000" w:sz="4" w:space="0"/>
              <w:left w:val="single" w:color="000000" w:sz="4" w:space="0"/>
              <w:bottom w:val="single" w:color="000000" w:sz="4" w:space="0"/>
              <w:right w:val="single" w:color="000000" w:sz="4" w:space="0"/>
            </w:tcBorders>
            <w:vAlign w:val="center"/>
          </w:tcPr>
          <w:p>
            <w:pPr>
              <w:widowControl/>
              <w:spacing w:after="0" w:line="360" w:lineRule="auto"/>
              <w:jc w:val="center"/>
              <w:textAlignment w:val="center"/>
              <w:rPr>
                <w:rFonts w:hint="eastAsia" w:ascii="宋体" w:hAnsi="宋体" w:eastAsia="宋体" w:cs="仿宋_GB2312"/>
                <w:b/>
                <w:bCs/>
                <w:szCs w:val="21"/>
              </w:rPr>
            </w:pPr>
            <w:r>
              <w:rPr>
                <w:rFonts w:hint="eastAsia" w:ascii="宋体" w:hAnsi="宋体" w:eastAsia="宋体" w:cs="仿宋_GB2312"/>
                <w:b/>
                <w:bCs/>
                <w:szCs w:val="21"/>
              </w:rPr>
              <w:t>规格/参数/要求</w:t>
            </w:r>
          </w:p>
        </w:tc>
        <w:tc>
          <w:tcPr>
            <w:tcW w:w="1275" w:type="dxa"/>
            <w:tcBorders>
              <w:top w:val="single" w:color="000000" w:sz="4" w:space="0"/>
              <w:left w:val="single" w:color="000000" w:sz="4" w:space="0"/>
              <w:bottom w:val="single" w:color="auto" w:sz="4" w:space="0"/>
              <w:right w:val="single" w:color="000000" w:sz="4" w:space="0"/>
            </w:tcBorders>
            <w:vAlign w:val="center"/>
          </w:tcPr>
          <w:p>
            <w:pPr>
              <w:widowControl/>
              <w:spacing w:after="0" w:line="360" w:lineRule="auto"/>
              <w:jc w:val="center"/>
              <w:textAlignment w:val="center"/>
              <w:rPr>
                <w:rFonts w:hint="eastAsia" w:ascii="宋体" w:hAnsi="宋体" w:eastAsia="宋体" w:cs="仿宋_GB2312"/>
                <w:b/>
                <w:bCs/>
                <w:szCs w:val="21"/>
              </w:rPr>
            </w:pPr>
            <w:r>
              <w:rPr>
                <w:rFonts w:hint="eastAsia" w:ascii="宋体" w:hAnsi="宋体" w:eastAsia="宋体" w:cs="仿宋_GB2312"/>
                <w:b/>
                <w:bCs/>
                <w:szCs w:val="21"/>
              </w:rPr>
              <w:t>单价最高限价（元）</w:t>
            </w:r>
          </w:p>
        </w:tc>
        <w:tc>
          <w:tcPr>
            <w:tcW w:w="1276" w:type="dxa"/>
            <w:tcBorders>
              <w:top w:val="single" w:color="000000" w:sz="4" w:space="0"/>
              <w:left w:val="single" w:color="000000" w:sz="4" w:space="0"/>
              <w:bottom w:val="single" w:color="auto" w:sz="4" w:space="0"/>
              <w:right w:val="single" w:color="000000" w:sz="4" w:space="0"/>
            </w:tcBorders>
            <w:vAlign w:val="center"/>
          </w:tcPr>
          <w:p>
            <w:pPr>
              <w:widowControl/>
              <w:spacing w:after="0" w:line="360" w:lineRule="auto"/>
              <w:jc w:val="center"/>
              <w:textAlignment w:val="center"/>
              <w:rPr>
                <w:rFonts w:hint="eastAsia" w:ascii="宋体" w:hAnsi="宋体" w:eastAsia="宋体" w:cs="仿宋_GB2312"/>
                <w:b/>
                <w:bCs/>
                <w:szCs w:val="21"/>
              </w:rPr>
            </w:pPr>
            <w:r>
              <w:rPr>
                <w:rFonts w:hint="eastAsia" w:ascii="宋体" w:hAnsi="宋体" w:eastAsia="宋体" w:cs="仿宋_GB2312"/>
                <w:b/>
                <w:bCs/>
                <w:szCs w:val="21"/>
              </w:rPr>
              <w:t>金额（元）</w:t>
            </w: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spacing w:after="0" w:line="360" w:lineRule="auto"/>
              <w:jc w:val="center"/>
              <w:textAlignment w:val="center"/>
              <w:rPr>
                <w:rFonts w:hint="eastAsia" w:ascii="宋体" w:hAnsi="宋体" w:eastAsia="宋体" w:cs="仿宋_GB2312"/>
                <w:b/>
                <w:bCs/>
                <w:szCs w:val="21"/>
              </w:rPr>
            </w:pPr>
            <w:r>
              <w:rPr>
                <w:rFonts w:hint="eastAsia" w:ascii="宋体" w:hAnsi="宋体" w:eastAsia="宋体" w:cs="仿宋_GB2312"/>
                <w:b/>
                <w:bCs/>
                <w:szCs w:val="21"/>
              </w:rPr>
              <w:t>备注</w:t>
            </w:r>
          </w:p>
        </w:tc>
      </w:tr>
      <w:tr>
        <w:tblPrEx>
          <w:tblLayout w:type="fixed"/>
          <w:tblCellMar>
            <w:top w:w="0" w:type="dxa"/>
            <w:left w:w="108" w:type="dxa"/>
            <w:bottom w:w="0" w:type="dxa"/>
            <w:right w:w="108" w:type="dxa"/>
          </w:tblCellMar>
        </w:tblPrEx>
        <w:trPr>
          <w:trHeight w:val="838" w:hRule="atLeast"/>
          <w:jc w:val="center"/>
        </w:trPr>
        <w:tc>
          <w:tcPr>
            <w:tcW w:w="704" w:type="dxa"/>
            <w:vMerge w:val="restart"/>
            <w:tcBorders>
              <w:top w:val="single" w:color="000000" w:sz="4" w:space="0"/>
              <w:left w:val="single" w:color="000000" w:sz="4" w:space="0"/>
              <w:right w:val="single" w:color="000000" w:sz="4" w:space="0"/>
            </w:tcBorders>
            <w:vAlign w:val="center"/>
          </w:tcPr>
          <w:p>
            <w:pPr>
              <w:widowControl/>
              <w:spacing w:after="0" w:line="360" w:lineRule="auto"/>
              <w:jc w:val="center"/>
              <w:textAlignment w:val="center"/>
              <w:rPr>
                <w:rFonts w:hint="eastAsia" w:ascii="宋体" w:hAnsi="宋体" w:eastAsia="宋体" w:cs="仿宋_GB2312"/>
                <w:szCs w:val="21"/>
              </w:rPr>
            </w:pPr>
            <w:r>
              <w:rPr>
                <w:rFonts w:hint="eastAsia" w:ascii="宋体" w:hAnsi="宋体" w:eastAsia="宋体" w:cs="仿宋_GB2312"/>
                <w:szCs w:val="21"/>
              </w:rPr>
              <w:t>空调</w:t>
            </w:r>
          </w:p>
          <w:p>
            <w:pPr>
              <w:widowControl/>
              <w:spacing w:after="0" w:line="360" w:lineRule="auto"/>
              <w:jc w:val="center"/>
              <w:textAlignment w:val="center"/>
              <w:rPr>
                <w:rFonts w:hint="eastAsia" w:ascii="宋体" w:hAnsi="宋体" w:eastAsia="宋体" w:cs="仿宋_GB2312"/>
                <w:szCs w:val="21"/>
              </w:rPr>
            </w:pPr>
            <w:r>
              <w:rPr>
                <w:rFonts w:hint="eastAsia" w:ascii="宋体" w:hAnsi="宋体" w:eastAsia="宋体" w:cs="仿宋_GB2312"/>
                <w:szCs w:val="21"/>
              </w:rPr>
              <w:t>（含辅材及服务）</w:t>
            </w:r>
          </w:p>
        </w:tc>
        <w:tc>
          <w:tcPr>
            <w:tcW w:w="2126" w:type="dxa"/>
            <w:gridSpan w:val="2"/>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格力</w:t>
            </w:r>
            <w:r>
              <w:rPr>
                <w:rFonts w:hint="eastAsia" w:ascii="宋体" w:hAnsi="宋体" w:eastAsia="宋体" w:cs="宋体"/>
                <w:color w:val="000000"/>
                <w:szCs w:val="21"/>
                <w:lang w:val="en-US" w:eastAsia="zh-CN"/>
              </w:rPr>
              <w:t>3</w:t>
            </w:r>
            <w:r>
              <w:rPr>
                <w:rFonts w:hint="eastAsia" w:ascii="宋体" w:hAnsi="宋体" w:eastAsia="宋体" w:cs="宋体"/>
                <w:color w:val="000000"/>
                <w:szCs w:val="21"/>
              </w:rPr>
              <w:t>P柜机</w:t>
            </w:r>
          </w:p>
        </w:tc>
        <w:tc>
          <w:tcPr>
            <w:tcW w:w="709"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lang w:val="en-US" w:eastAsia="zh-CN"/>
              </w:rPr>
            </w:pPr>
            <w:r>
              <w:rPr>
                <w:rFonts w:hint="eastAsia" w:ascii="宋体" w:hAnsi="宋体" w:eastAsia="宋体" w:cs="宋体"/>
                <w:color w:val="000000"/>
                <w:szCs w:val="21"/>
              </w:rPr>
              <w:t>台</w:t>
            </w:r>
          </w:p>
        </w:tc>
        <w:tc>
          <w:tcPr>
            <w:tcW w:w="709"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lang w:val="en-US" w:eastAsia="zh-CN"/>
              </w:rPr>
              <w:t>2</w:t>
            </w:r>
          </w:p>
        </w:tc>
        <w:tc>
          <w:tcPr>
            <w:tcW w:w="2552" w:type="dxa"/>
            <w:tcBorders>
              <w:top w:val="single" w:color="000000" w:sz="4" w:space="0"/>
              <w:left w:val="single" w:color="000000" w:sz="4" w:space="0"/>
              <w:bottom w:val="single" w:color="000000" w:sz="4" w:space="0"/>
              <w:right w:val="single" w:color="auto" w:sz="4" w:space="0"/>
            </w:tcBorders>
            <w:vAlign w:val="center"/>
          </w:tcPr>
          <w:p>
            <w:pPr>
              <w:spacing w:after="0" w:line="360" w:lineRule="auto"/>
              <w:jc w:val="both"/>
              <w:rPr>
                <w:rFonts w:hint="eastAsia" w:ascii="宋体" w:hAnsi="宋体" w:eastAsia="宋体" w:cs="宋体"/>
                <w:color w:val="000000"/>
                <w:szCs w:val="21"/>
              </w:rPr>
            </w:pPr>
            <w:r>
              <w:rPr>
                <w:rFonts w:hint="eastAsia" w:ascii="宋体" w:hAnsi="宋体" w:eastAsia="宋体" w:cs="宋体"/>
                <w:color w:val="000000"/>
                <w:szCs w:val="21"/>
                <w:lang w:val="en-US" w:eastAsia="zh-CN"/>
              </w:rPr>
              <w:t>KFR-72LW/(72536)FNhAc-B2JY01</w:t>
            </w:r>
          </w:p>
        </w:tc>
        <w:tc>
          <w:tcPr>
            <w:tcW w:w="127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6800</w:t>
            </w:r>
          </w:p>
        </w:tc>
        <w:tc>
          <w:tcPr>
            <w:tcW w:w="1276"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13600</w:t>
            </w:r>
          </w:p>
        </w:tc>
        <w:tc>
          <w:tcPr>
            <w:tcW w:w="1134" w:type="dxa"/>
            <w:tcBorders>
              <w:top w:val="single" w:color="000000" w:sz="4" w:space="0"/>
              <w:left w:val="single" w:color="auto"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w:t>
            </w:r>
          </w:p>
        </w:tc>
      </w:tr>
      <w:tr>
        <w:tblPrEx>
          <w:tblLayout w:type="fixed"/>
          <w:tblCellMar>
            <w:top w:w="0" w:type="dxa"/>
            <w:left w:w="108" w:type="dxa"/>
            <w:bottom w:w="0" w:type="dxa"/>
            <w:right w:w="108" w:type="dxa"/>
          </w:tblCellMar>
        </w:tblPrEx>
        <w:trPr>
          <w:trHeight w:val="735" w:hRule="atLeast"/>
          <w:jc w:val="center"/>
        </w:trPr>
        <w:tc>
          <w:tcPr>
            <w:tcW w:w="704" w:type="dxa"/>
            <w:vMerge w:val="continue"/>
            <w:tcBorders>
              <w:left w:val="single" w:color="000000" w:sz="4" w:space="0"/>
              <w:right w:val="single" w:color="000000" w:sz="4" w:space="0"/>
            </w:tcBorders>
            <w:vAlign w:val="center"/>
          </w:tcPr>
          <w:p>
            <w:pPr>
              <w:widowControl/>
              <w:spacing w:after="0" w:line="360" w:lineRule="auto"/>
              <w:jc w:val="left"/>
              <w:rPr>
                <w:rFonts w:hint="eastAsia" w:ascii="宋体" w:hAnsi="宋体" w:eastAsia="宋体" w:cs="仿宋_GB2312"/>
                <w:szCs w:val="21"/>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Cs w:val="21"/>
              </w:rPr>
              <w:t>格力5P柜机</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hint="eastAsia" w:ascii="宋体" w:hAnsi="宋体" w:eastAsia="宋体" w:cs="宋体"/>
                <w:color w:val="000000"/>
                <w:szCs w:val="21"/>
                <w:lang w:val="en-US" w:eastAsia="zh-CN"/>
              </w:rPr>
            </w:pPr>
            <w:r>
              <w:rPr>
                <w:rFonts w:hint="eastAsia" w:ascii="宋体" w:hAnsi="宋体" w:eastAsia="宋体" w:cs="宋体"/>
                <w:color w:val="000000"/>
                <w:szCs w:val="21"/>
              </w:rPr>
              <w:t>台</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360" w:lineRule="auto"/>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szCs w:val="21"/>
                <w:lang w:val="en-US" w:eastAsia="zh-CN"/>
              </w:rPr>
              <w:t>8</w:t>
            </w:r>
          </w:p>
        </w:tc>
        <w:tc>
          <w:tcPr>
            <w:tcW w:w="2552" w:type="dxa"/>
            <w:tcBorders>
              <w:top w:val="single" w:color="000000" w:sz="4" w:space="0"/>
              <w:left w:val="single" w:color="000000" w:sz="4" w:space="0"/>
              <w:bottom w:val="single" w:color="000000" w:sz="4" w:space="0"/>
              <w:right w:val="single" w:color="auto" w:sz="4" w:space="0"/>
            </w:tcBorders>
            <w:shd w:val="clear" w:color="auto" w:fill="auto"/>
            <w:vAlign w:val="center"/>
          </w:tcPr>
          <w:p>
            <w:pPr>
              <w:spacing w:after="0" w:line="360" w:lineRule="auto"/>
              <w:jc w:val="center"/>
              <w:rPr>
                <w:rFonts w:hint="eastAsia"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RF12WPdF/NhP-N1JY01</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360" w:lineRule="auto"/>
              <w:jc w:val="center"/>
              <w:rPr>
                <w:rFonts w:hint="default"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11800</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360" w:lineRule="auto"/>
              <w:jc w:val="center"/>
              <w:rPr>
                <w:rFonts w:hint="default"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94400</w:t>
            </w:r>
          </w:p>
        </w:tc>
        <w:tc>
          <w:tcPr>
            <w:tcW w:w="1134" w:type="dxa"/>
            <w:tcBorders>
              <w:top w:val="single" w:color="000000" w:sz="4" w:space="0"/>
              <w:left w:val="single" w:color="auto" w:sz="4" w:space="0"/>
              <w:bottom w:val="single" w:color="auto"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w:t>
            </w:r>
          </w:p>
        </w:tc>
      </w:tr>
      <w:tr>
        <w:tblPrEx>
          <w:tblLayout w:type="fixed"/>
          <w:tblCellMar>
            <w:top w:w="0" w:type="dxa"/>
            <w:left w:w="108" w:type="dxa"/>
            <w:bottom w:w="0" w:type="dxa"/>
            <w:right w:w="108" w:type="dxa"/>
          </w:tblCellMar>
        </w:tblPrEx>
        <w:trPr>
          <w:trHeight w:val="634" w:hRule="atLeast"/>
          <w:jc w:val="center"/>
        </w:trPr>
        <w:tc>
          <w:tcPr>
            <w:tcW w:w="704" w:type="dxa"/>
            <w:vMerge w:val="continue"/>
            <w:tcBorders>
              <w:left w:val="single" w:color="000000" w:sz="4" w:space="0"/>
              <w:right w:val="single" w:color="000000" w:sz="4" w:space="0"/>
            </w:tcBorders>
            <w:vAlign w:val="center"/>
          </w:tcPr>
          <w:p>
            <w:pPr>
              <w:widowControl/>
              <w:spacing w:after="0" w:line="360" w:lineRule="auto"/>
              <w:jc w:val="left"/>
              <w:rPr>
                <w:rFonts w:hint="eastAsia" w:ascii="宋体" w:hAnsi="宋体" w:eastAsia="宋体" w:cs="仿宋_GB2312"/>
                <w:szCs w:val="21"/>
              </w:rPr>
            </w:pPr>
          </w:p>
        </w:tc>
        <w:tc>
          <w:tcPr>
            <w:tcW w:w="2126" w:type="dxa"/>
            <w:gridSpan w:val="2"/>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水钻打孔</w:t>
            </w:r>
          </w:p>
        </w:tc>
        <w:tc>
          <w:tcPr>
            <w:tcW w:w="709"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个</w:t>
            </w:r>
          </w:p>
        </w:tc>
        <w:tc>
          <w:tcPr>
            <w:tcW w:w="709"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10</w:t>
            </w:r>
          </w:p>
        </w:tc>
        <w:tc>
          <w:tcPr>
            <w:tcW w:w="2552" w:type="dxa"/>
            <w:tcBorders>
              <w:top w:val="single" w:color="000000" w:sz="4" w:space="0"/>
              <w:left w:val="single" w:color="000000" w:sz="4" w:space="0"/>
              <w:bottom w:val="single" w:color="000000" w:sz="4" w:space="0"/>
              <w:right w:val="single" w:color="auto"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lang w:val="en-US" w:eastAsia="zh-CN"/>
              </w:rPr>
              <w:t>-</w:t>
            </w:r>
          </w:p>
        </w:tc>
        <w:tc>
          <w:tcPr>
            <w:tcW w:w="127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50</w:t>
            </w:r>
          </w:p>
        </w:tc>
        <w:tc>
          <w:tcPr>
            <w:tcW w:w="1276"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500</w:t>
            </w:r>
          </w:p>
        </w:tc>
        <w:tc>
          <w:tcPr>
            <w:tcW w:w="1134"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w:t>
            </w:r>
          </w:p>
        </w:tc>
      </w:tr>
      <w:tr>
        <w:tblPrEx>
          <w:tblLayout w:type="fixed"/>
          <w:tblCellMar>
            <w:top w:w="0" w:type="dxa"/>
            <w:left w:w="108" w:type="dxa"/>
            <w:bottom w:w="0" w:type="dxa"/>
            <w:right w:w="108" w:type="dxa"/>
          </w:tblCellMar>
        </w:tblPrEx>
        <w:trPr>
          <w:trHeight w:val="931" w:hRule="atLeast"/>
          <w:jc w:val="center"/>
        </w:trPr>
        <w:tc>
          <w:tcPr>
            <w:tcW w:w="704" w:type="dxa"/>
            <w:vMerge w:val="continue"/>
            <w:tcBorders>
              <w:left w:val="single" w:color="000000" w:sz="4" w:space="0"/>
              <w:right w:val="single" w:color="000000" w:sz="4" w:space="0"/>
            </w:tcBorders>
            <w:vAlign w:val="center"/>
          </w:tcPr>
          <w:p>
            <w:pPr>
              <w:widowControl/>
              <w:spacing w:after="0" w:line="360" w:lineRule="auto"/>
              <w:jc w:val="left"/>
              <w:rPr>
                <w:rFonts w:hint="eastAsia" w:ascii="宋体" w:hAnsi="宋体" w:eastAsia="宋体" w:cs="仿宋_GB2312"/>
                <w:szCs w:val="21"/>
              </w:rPr>
            </w:pPr>
          </w:p>
        </w:tc>
        <w:tc>
          <w:tcPr>
            <w:tcW w:w="2126" w:type="dxa"/>
            <w:gridSpan w:val="2"/>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3匹机加铜管</w:t>
            </w:r>
          </w:p>
        </w:tc>
        <w:tc>
          <w:tcPr>
            <w:tcW w:w="709"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米</w:t>
            </w:r>
          </w:p>
        </w:tc>
        <w:tc>
          <w:tcPr>
            <w:tcW w:w="709"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w:t>
            </w:r>
          </w:p>
        </w:tc>
        <w:tc>
          <w:tcPr>
            <w:tcW w:w="2552" w:type="dxa"/>
            <w:tcBorders>
              <w:top w:val="single" w:color="000000" w:sz="4" w:space="0"/>
              <w:left w:val="single" w:color="000000" w:sz="4" w:space="0"/>
              <w:bottom w:val="single" w:color="000000" w:sz="4" w:space="0"/>
              <w:right w:val="single" w:color="auto"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 xml:space="preserve">空调用铜管 </w:t>
            </w:r>
          </w:p>
        </w:tc>
        <w:tc>
          <w:tcPr>
            <w:tcW w:w="127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120</w:t>
            </w:r>
          </w:p>
        </w:tc>
        <w:tc>
          <w:tcPr>
            <w:tcW w:w="1276"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120</w:t>
            </w:r>
          </w:p>
        </w:tc>
        <w:tc>
          <w:tcPr>
            <w:tcW w:w="1134" w:type="dxa"/>
            <w:vMerge w:val="restart"/>
            <w:tcBorders>
              <w:top w:val="single" w:color="auto" w:sz="4" w:space="0"/>
              <w:left w:val="single" w:color="auto" w:sz="4" w:space="0"/>
              <w:right w:val="single" w:color="auto"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数量据实结算</w:t>
            </w:r>
          </w:p>
        </w:tc>
      </w:tr>
      <w:tr>
        <w:tblPrEx>
          <w:tblLayout w:type="fixed"/>
          <w:tblCellMar>
            <w:top w:w="0" w:type="dxa"/>
            <w:left w:w="108" w:type="dxa"/>
            <w:bottom w:w="0" w:type="dxa"/>
            <w:right w:w="108" w:type="dxa"/>
          </w:tblCellMar>
        </w:tblPrEx>
        <w:trPr>
          <w:trHeight w:val="931" w:hRule="atLeast"/>
          <w:jc w:val="center"/>
        </w:trPr>
        <w:tc>
          <w:tcPr>
            <w:tcW w:w="704" w:type="dxa"/>
            <w:vMerge w:val="continue"/>
            <w:tcBorders>
              <w:left w:val="single" w:color="000000" w:sz="4" w:space="0"/>
              <w:right w:val="single" w:color="000000" w:sz="4" w:space="0"/>
            </w:tcBorders>
            <w:vAlign w:val="center"/>
          </w:tcPr>
          <w:p>
            <w:pPr>
              <w:widowControl/>
              <w:spacing w:after="0" w:line="360" w:lineRule="auto"/>
              <w:jc w:val="left"/>
              <w:rPr>
                <w:rFonts w:hint="eastAsia" w:ascii="宋体" w:hAnsi="宋体" w:eastAsia="宋体" w:cs="仿宋_GB2312"/>
                <w:szCs w:val="21"/>
              </w:rPr>
            </w:pPr>
          </w:p>
        </w:tc>
        <w:tc>
          <w:tcPr>
            <w:tcW w:w="2126" w:type="dxa"/>
            <w:gridSpan w:val="2"/>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5匹机加铜管</w:t>
            </w:r>
          </w:p>
        </w:tc>
        <w:tc>
          <w:tcPr>
            <w:tcW w:w="709"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米</w:t>
            </w:r>
          </w:p>
        </w:tc>
        <w:tc>
          <w:tcPr>
            <w:tcW w:w="709"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w:t>
            </w:r>
          </w:p>
        </w:tc>
        <w:tc>
          <w:tcPr>
            <w:tcW w:w="2552" w:type="dxa"/>
            <w:tcBorders>
              <w:top w:val="single" w:color="000000" w:sz="4" w:space="0"/>
              <w:left w:val="single" w:color="000000" w:sz="4" w:space="0"/>
              <w:bottom w:val="single" w:color="000000" w:sz="4" w:space="0"/>
              <w:right w:val="single" w:color="auto"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 xml:space="preserve">空调用铜管 </w:t>
            </w:r>
          </w:p>
        </w:tc>
        <w:tc>
          <w:tcPr>
            <w:tcW w:w="127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150</w:t>
            </w:r>
          </w:p>
        </w:tc>
        <w:tc>
          <w:tcPr>
            <w:tcW w:w="1276"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150</w:t>
            </w:r>
          </w:p>
        </w:tc>
        <w:tc>
          <w:tcPr>
            <w:tcW w:w="1134" w:type="dxa"/>
            <w:vMerge w:val="continue"/>
            <w:tcBorders>
              <w:left w:val="single" w:color="auto" w:sz="4" w:space="0"/>
              <w:bottom w:val="single" w:color="auto" w:sz="4" w:space="0"/>
              <w:right w:val="single" w:color="auto" w:sz="4" w:space="0"/>
            </w:tcBorders>
            <w:vAlign w:val="center"/>
          </w:tcPr>
          <w:p>
            <w:pPr>
              <w:spacing w:after="0" w:line="360" w:lineRule="auto"/>
              <w:jc w:val="center"/>
              <w:rPr>
                <w:rFonts w:hint="eastAsia" w:ascii="宋体" w:hAnsi="宋体" w:eastAsia="宋体" w:cs="宋体"/>
                <w:color w:val="000000"/>
                <w:szCs w:val="21"/>
              </w:rPr>
            </w:pPr>
          </w:p>
        </w:tc>
      </w:tr>
      <w:tr>
        <w:tblPrEx>
          <w:tblLayout w:type="fixed"/>
          <w:tblCellMar>
            <w:top w:w="0" w:type="dxa"/>
            <w:left w:w="108" w:type="dxa"/>
            <w:bottom w:w="0" w:type="dxa"/>
            <w:right w:w="108" w:type="dxa"/>
          </w:tblCellMar>
        </w:tblPrEx>
        <w:trPr>
          <w:trHeight w:val="931" w:hRule="atLeast"/>
          <w:jc w:val="center"/>
        </w:trPr>
        <w:tc>
          <w:tcPr>
            <w:tcW w:w="704" w:type="dxa"/>
            <w:vMerge w:val="continue"/>
            <w:tcBorders>
              <w:left w:val="single" w:color="000000" w:sz="4" w:space="0"/>
              <w:right w:val="single" w:color="000000" w:sz="4" w:space="0"/>
            </w:tcBorders>
            <w:vAlign w:val="center"/>
          </w:tcPr>
          <w:p>
            <w:pPr>
              <w:widowControl/>
              <w:spacing w:after="0" w:line="360" w:lineRule="auto"/>
              <w:jc w:val="left"/>
              <w:rPr>
                <w:rFonts w:hint="eastAsia" w:ascii="宋体" w:hAnsi="宋体" w:eastAsia="宋体" w:cs="仿宋_GB2312"/>
                <w:szCs w:val="21"/>
              </w:rPr>
            </w:pPr>
          </w:p>
        </w:tc>
        <w:tc>
          <w:tcPr>
            <w:tcW w:w="2126" w:type="dxa"/>
            <w:gridSpan w:val="2"/>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3匹不锈钢支架</w:t>
            </w:r>
          </w:p>
        </w:tc>
        <w:tc>
          <w:tcPr>
            <w:tcW w:w="709"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付</w:t>
            </w:r>
          </w:p>
        </w:tc>
        <w:tc>
          <w:tcPr>
            <w:tcW w:w="709"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2</w:t>
            </w:r>
          </w:p>
        </w:tc>
        <w:tc>
          <w:tcPr>
            <w:tcW w:w="2552" w:type="dxa"/>
            <w:tcBorders>
              <w:top w:val="single" w:color="000000" w:sz="4" w:space="0"/>
              <w:left w:val="single" w:color="000000" w:sz="4" w:space="0"/>
              <w:bottom w:val="single" w:color="000000" w:sz="4" w:space="0"/>
              <w:right w:val="single" w:color="auto"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lang w:val="en-US" w:eastAsia="zh-CN"/>
              </w:rPr>
              <w:t>3</w:t>
            </w:r>
            <w:r>
              <w:rPr>
                <w:rFonts w:hint="eastAsia" w:ascii="宋体" w:hAnsi="宋体" w:eastAsia="宋体" w:cs="宋体"/>
                <w:color w:val="000000"/>
                <w:szCs w:val="21"/>
              </w:rPr>
              <w:t>匹柜机专用带横杆</w:t>
            </w:r>
          </w:p>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（含安装用配件）</w:t>
            </w:r>
          </w:p>
        </w:tc>
        <w:tc>
          <w:tcPr>
            <w:tcW w:w="127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220</w:t>
            </w:r>
          </w:p>
        </w:tc>
        <w:tc>
          <w:tcPr>
            <w:tcW w:w="1276"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440</w:t>
            </w:r>
          </w:p>
        </w:tc>
        <w:tc>
          <w:tcPr>
            <w:tcW w:w="1134"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w:t>
            </w:r>
          </w:p>
        </w:tc>
      </w:tr>
      <w:tr>
        <w:tblPrEx>
          <w:tblLayout w:type="fixed"/>
          <w:tblCellMar>
            <w:top w:w="0" w:type="dxa"/>
            <w:left w:w="108" w:type="dxa"/>
            <w:bottom w:w="0" w:type="dxa"/>
            <w:right w:w="108" w:type="dxa"/>
          </w:tblCellMar>
        </w:tblPrEx>
        <w:trPr>
          <w:trHeight w:val="931" w:hRule="atLeast"/>
          <w:jc w:val="center"/>
        </w:trPr>
        <w:tc>
          <w:tcPr>
            <w:tcW w:w="704" w:type="dxa"/>
            <w:vMerge w:val="continue"/>
            <w:tcBorders>
              <w:left w:val="single" w:color="000000" w:sz="4" w:space="0"/>
              <w:right w:val="single" w:color="000000" w:sz="4" w:space="0"/>
            </w:tcBorders>
            <w:vAlign w:val="center"/>
          </w:tcPr>
          <w:p>
            <w:pPr>
              <w:widowControl/>
              <w:spacing w:after="0" w:line="360" w:lineRule="auto"/>
              <w:jc w:val="left"/>
              <w:rPr>
                <w:rFonts w:hint="eastAsia" w:ascii="宋体" w:hAnsi="宋体" w:eastAsia="宋体" w:cs="仿宋_GB2312"/>
                <w:szCs w:val="21"/>
              </w:rPr>
            </w:pPr>
          </w:p>
        </w:tc>
        <w:tc>
          <w:tcPr>
            <w:tcW w:w="2126" w:type="dxa"/>
            <w:gridSpan w:val="2"/>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5匹不锈钢支架</w:t>
            </w:r>
          </w:p>
        </w:tc>
        <w:tc>
          <w:tcPr>
            <w:tcW w:w="709"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付</w:t>
            </w:r>
          </w:p>
        </w:tc>
        <w:tc>
          <w:tcPr>
            <w:tcW w:w="709"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8</w:t>
            </w:r>
          </w:p>
        </w:tc>
        <w:tc>
          <w:tcPr>
            <w:tcW w:w="2552" w:type="dxa"/>
            <w:tcBorders>
              <w:top w:val="single" w:color="000000" w:sz="4" w:space="0"/>
              <w:left w:val="single" w:color="000000" w:sz="4" w:space="0"/>
              <w:bottom w:val="single" w:color="000000" w:sz="4" w:space="0"/>
              <w:right w:val="single" w:color="auto"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5匹柜机专用带横杆</w:t>
            </w:r>
          </w:p>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（含安装用配件）</w:t>
            </w:r>
          </w:p>
        </w:tc>
        <w:tc>
          <w:tcPr>
            <w:tcW w:w="127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350</w:t>
            </w:r>
          </w:p>
        </w:tc>
        <w:tc>
          <w:tcPr>
            <w:tcW w:w="1276"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2800</w:t>
            </w:r>
          </w:p>
        </w:tc>
        <w:tc>
          <w:tcPr>
            <w:tcW w:w="1134"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w:t>
            </w:r>
          </w:p>
        </w:tc>
      </w:tr>
      <w:tr>
        <w:tblPrEx>
          <w:tblLayout w:type="fixed"/>
          <w:tblCellMar>
            <w:top w:w="0" w:type="dxa"/>
            <w:left w:w="108" w:type="dxa"/>
            <w:bottom w:w="0" w:type="dxa"/>
            <w:right w:w="108" w:type="dxa"/>
          </w:tblCellMar>
        </w:tblPrEx>
        <w:trPr>
          <w:trHeight w:val="746" w:hRule="atLeast"/>
          <w:jc w:val="center"/>
        </w:trPr>
        <w:tc>
          <w:tcPr>
            <w:tcW w:w="704" w:type="dxa"/>
            <w:vMerge w:val="continue"/>
            <w:tcBorders>
              <w:left w:val="single" w:color="000000" w:sz="4" w:space="0"/>
              <w:right w:val="single" w:color="000000" w:sz="4" w:space="0"/>
            </w:tcBorders>
            <w:vAlign w:val="center"/>
          </w:tcPr>
          <w:p>
            <w:pPr>
              <w:widowControl/>
              <w:spacing w:after="0" w:line="360" w:lineRule="auto"/>
              <w:jc w:val="left"/>
              <w:rPr>
                <w:rFonts w:hint="eastAsia" w:ascii="宋体" w:hAnsi="宋体" w:eastAsia="宋体" w:cs="仿宋_GB2312"/>
                <w:szCs w:val="21"/>
              </w:rPr>
            </w:pPr>
          </w:p>
        </w:tc>
        <w:tc>
          <w:tcPr>
            <w:tcW w:w="2126" w:type="dxa"/>
            <w:gridSpan w:val="2"/>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空调外包管槽</w:t>
            </w:r>
          </w:p>
        </w:tc>
        <w:tc>
          <w:tcPr>
            <w:tcW w:w="709"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米</w:t>
            </w:r>
          </w:p>
        </w:tc>
        <w:tc>
          <w:tcPr>
            <w:tcW w:w="709"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w:t>
            </w:r>
          </w:p>
        </w:tc>
        <w:tc>
          <w:tcPr>
            <w:tcW w:w="2552" w:type="dxa"/>
            <w:tcBorders>
              <w:top w:val="single" w:color="000000" w:sz="4" w:space="0"/>
              <w:left w:val="single" w:color="000000" w:sz="4" w:space="0"/>
              <w:bottom w:val="single" w:color="000000" w:sz="4" w:space="0"/>
              <w:right w:val="single" w:color="auto" w:sz="4" w:space="0"/>
            </w:tcBorders>
            <w:vAlign w:val="center"/>
          </w:tcPr>
          <w:p>
            <w:pPr>
              <w:spacing w:after="0" w:line="360" w:lineRule="auto"/>
              <w:jc w:val="center"/>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w:t>
            </w:r>
          </w:p>
        </w:tc>
        <w:tc>
          <w:tcPr>
            <w:tcW w:w="127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100</w:t>
            </w:r>
          </w:p>
        </w:tc>
        <w:tc>
          <w:tcPr>
            <w:tcW w:w="1276"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100</w:t>
            </w:r>
          </w:p>
        </w:tc>
        <w:tc>
          <w:tcPr>
            <w:tcW w:w="1134" w:type="dxa"/>
            <w:vMerge w:val="restart"/>
            <w:tcBorders>
              <w:top w:val="single" w:color="auto" w:sz="4" w:space="0"/>
              <w:left w:val="single" w:color="auto" w:sz="4" w:space="0"/>
              <w:right w:val="single" w:color="auto"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数量据实结算</w:t>
            </w:r>
          </w:p>
        </w:tc>
      </w:tr>
      <w:tr>
        <w:tblPrEx>
          <w:tblLayout w:type="fixed"/>
          <w:tblCellMar>
            <w:top w:w="0" w:type="dxa"/>
            <w:left w:w="108" w:type="dxa"/>
            <w:bottom w:w="0" w:type="dxa"/>
            <w:right w:w="108" w:type="dxa"/>
          </w:tblCellMar>
        </w:tblPrEx>
        <w:trPr>
          <w:trHeight w:val="800" w:hRule="atLeast"/>
          <w:jc w:val="center"/>
        </w:trPr>
        <w:tc>
          <w:tcPr>
            <w:tcW w:w="704" w:type="dxa"/>
            <w:vMerge w:val="continue"/>
            <w:tcBorders>
              <w:left w:val="single" w:color="000000" w:sz="4" w:space="0"/>
              <w:right w:val="single" w:color="000000" w:sz="4" w:space="0"/>
            </w:tcBorders>
            <w:vAlign w:val="center"/>
          </w:tcPr>
          <w:p>
            <w:pPr>
              <w:widowControl/>
              <w:spacing w:after="0" w:line="360" w:lineRule="auto"/>
              <w:jc w:val="left"/>
              <w:rPr>
                <w:rFonts w:hint="eastAsia" w:ascii="宋体" w:hAnsi="宋体" w:eastAsia="宋体" w:cs="仿宋_GB2312"/>
                <w:szCs w:val="21"/>
              </w:rPr>
            </w:pPr>
          </w:p>
        </w:tc>
        <w:tc>
          <w:tcPr>
            <w:tcW w:w="2126" w:type="dxa"/>
            <w:gridSpan w:val="2"/>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外墙排水</w:t>
            </w:r>
          </w:p>
        </w:tc>
        <w:tc>
          <w:tcPr>
            <w:tcW w:w="709"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米</w:t>
            </w:r>
          </w:p>
        </w:tc>
        <w:tc>
          <w:tcPr>
            <w:tcW w:w="709"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w:t>
            </w:r>
          </w:p>
        </w:tc>
        <w:tc>
          <w:tcPr>
            <w:tcW w:w="2552" w:type="dxa"/>
            <w:tcBorders>
              <w:top w:val="single" w:color="000000" w:sz="4" w:space="0"/>
              <w:left w:val="single" w:color="000000" w:sz="4" w:space="0"/>
              <w:bottom w:val="single" w:color="000000" w:sz="4" w:space="0"/>
              <w:right w:val="single" w:color="auto" w:sz="4" w:space="0"/>
            </w:tcBorders>
            <w:vAlign w:val="center"/>
          </w:tcPr>
          <w:p>
            <w:pPr>
              <w:spacing w:after="0" w:line="360" w:lineRule="auto"/>
              <w:jc w:val="center"/>
              <w:rPr>
                <w:rFonts w:hint="eastAsia" w:ascii="宋体" w:hAnsi="宋体" w:eastAsia="宋体" w:cs="宋体"/>
                <w:color w:val="000000"/>
                <w:szCs w:val="21"/>
                <w:lang w:val="en-US" w:eastAsia="zh-CN"/>
              </w:rPr>
            </w:pPr>
            <w:r>
              <w:rPr>
                <w:rFonts w:hint="eastAsia" w:ascii="宋体" w:hAnsi="宋体" w:eastAsia="宋体" w:cs="宋体"/>
                <w:color w:val="000000"/>
                <w:szCs w:val="21"/>
                <w:lang w:val="en-US" w:eastAsia="zh-CN"/>
              </w:rPr>
              <w:t>-</w:t>
            </w:r>
          </w:p>
        </w:tc>
        <w:tc>
          <w:tcPr>
            <w:tcW w:w="127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20</w:t>
            </w:r>
          </w:p>
        </w:tc>
        <w:tc>
          <w:tcPr>
            <w:tcW w:w="1276"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20</w:t>
            </w:r>
          </w:p>
        </w:tc>
        <w:tc>
          <w:tcPr>
            <w:tcW w:w="1134" w:type="dxa"/>
            <w:vMerge w:val="continue"/>
            <w:tcBorders>
              <w:left w:val="single" w:color="auto" w:sz="4" w:space="0"/>
              <w:bottom w:val="single" w:color="auto" w:sz="4" w:space="0"/>
              <w:right w:val="single" w:color="auto" w:sz="4" w:space="0"/>
            </w:tcBorders>
            <w:vAlign w:val="center"/>
          </w:tcPr>
          <w:p>
            <w:pPr>
              <w:spacing w:after="0" w:line="360" w:lineRule="auto"/>
              <w:jc w:val="center"/>
              <w:rPr>
                <w:rFonts w:hint="eastAsia" w:ascii="宋体" w:hAnsi="宋体" w:eastAsia="宋体" w:cs="宋体"/>
                <w:color w:val="000000"/>
                <w:szCs w:val="21"/>
              </w:rPr>
            </w:pPr>
          </w:p>
        </w:tc>
      </w:tr>
      <w:tr>
        <w:tblPrEx>
          <w:tblLayout w:type="fixed"/>
          <w:tblCellMar>
            <w:top w:w="0" w:type="dxa"/>
            <w:left w:w="108" w:type="dxa"/>
            <w:bottom w:w="0" w:type="dxa"/>
            <w:right w:w="108" w:type="dxa"/>
          </w:tblCellMar>
        </w:tblPrEx>
        <w:trPr>
          <w:trHeight w:val="800" w:hRule="atLeast"/>
          <w:jc w:val="center"/>
        </w:trPr>
        <w:tc>
          <w:tcPr>
            <w:tcW w:w="704" w:type="dxa"/>
            <w:vMerge w:val="continue"/>
            <w:tcBorders>
              <w:left w:val="single" w:color="000000" w:sz="4" w:space="0"/>
              <w:right w:val="single" w:color="000000" w:sz="4" w:space="0"/>
            </w:tcBorders>
            <w:vAlign w:val="center"/>
          </w:tcPr>
          <w:p>
            <w:pPr>
              <w:widowControl/>
              <w:spacing w:after="0" w:line="360" w:lineRule="auto"/>
              <w:jc w:val="left"/>
              <w:rPr>
                <w:rFonts w:hint="eastAsia" w:ascii="宋体" w:hAnsi="宋体" w:eastAsia="宋体" w:cs="仿宋_GB2312"/>
                <w:szCs w:val="21"/>
              </w:rPr>
            </w:pPr>
          </w:p>
        </w:tc>
        <w:tc>
          <w:tcPr>
            <w:tcW w:w="2126" w:type="dxa"/>
            <w:gridSpan w:val="2"/>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高空费(3楼以上)</w:t>
            </w:r>
          </w:p>
        </w:tc>
        <w:tc>
          <w:tcPr>
            <w:tcW w:w="709"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台</w:t>
            </w:r>
          </w:p>
        </w:tc>
        <w:tc>
          <w:tcPr>
            <w:tcW w:w="709"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10</w:t>
            </w:r>
          </w:p>
        </w:tc>
        <w:tc>
          <w:tcPr>
            <w:tcW w:w="2552" w:type="dxa"/>
            <w:tcBorders>
              <w:top w:val="single" w:color="000000" w:sz="4" w:space="0"/>
              <w:left w:val="single" w:color="000000" w:sz="4" w:space="0"/>
              <w:bottom w:val="single" w:color="000000" w:sz="4" w:space="0"/>
              <w:right w:val="single" w:color="auto"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lang w:val="en-US" w:eastAsia="zh-CN"/>
              </w:rPr>
              <w:t>-</w:t>
            </w:r>
          </w:p>
        </w:tc>
        <w:tc>
          <w:tcPr>
            <w:tcW w:w="127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100</w:t>
            </w:r>
          </w:p>
        </w:tc>
        <w:tc>
          <w:tcPr>
            <w:tcW w:w="1276"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1000</w:t>
            </w:r>
          </w:p>
        </w:tc>
        <w:tc>
          <w:tcPr>
            <w:tcW w:w="1134" w:type="dxa"/>
            <w:tcBorders>
              <w:top w:val="single" w:color="auto" w:sz="4" w:space="0"/>
              <w:left w:val="single" w:color="auto" w:sz="4" w:space="0"/>
              <w:bottom w:val="single" w:color="auto"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w:t>
            </w:r>
          </w:p>
        </w:tc>
      </w:tr>
      <w:tr>
        <w:tblPrEx>
          <w:tblLayout w:type="fixed"/>
          <w:tblCellMar>
            <w:top w:w="0" w:type="dxa"/>
            <w:left w:w="108" w:type="dxa"/>
            <w:bottom w:w="0" w:type="dxa"/>
            <w:right w:w="108" w:type="dxa"/>
          </w:tblCellMar>
        </w:tblPrEx>
        <w:trPr>
          <w:trHeight w:val="800" w:hRule="atLeast"/>
          <w:jc w:val="center"/>
        </w:trPr>
        <w:tc>
          <w:tcPr>
            <w:tcW w:w="704" w:type="dxa"/>
            <w:vMerge w:val="continue"/>
            <w:tcBorders>
              <w:left w:val="single" w:color="000000" w:sz="4" w:space="0"/>
              <w:bottom w:val="single" w:color="000000" w:sz="4" w:space="0"/>
              <w:right w:val="single" w:color="000000" w:sz="4" w:space="0"/>
            </w:tcBorders>
            <w:vAlign w:val="center"/>
          </w:tcPr>
          <w:p>
            <w:pPr>
              <w:widowControl/>
              <w:spacing w:after="0" w:line="360" w:lineRule="auto"/>
              <w:jc w:val="left"/>
              <w:rPr>
                <w:rFonts w:hint="eastAsia" w:ascii="宋体" w:hAnsi="宋体" w:eastAsia="宋体" w:cs="仿宋_GB2312"/>
                <w:szCs w:val="21"/>
              </w:rPr>
            </w:pPr>
          </w:p>
        </w:tc>
        <w:tc>
          <w:tcPr>
            <w:tcW w:w="2126" w:type="dxa"/>
            <w:gridSpan w:val="2"/>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焊接防盗网</w:t>
            </w:r>
          </w:p>
        </w:tc>
        <w:tc>
          <w:tcPr>
            <w:tcW w:w="709"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个</w:t>
            </w:r>
          </w:p>
        </w:tc>
        <w:tc>
          <w:tcPr>
            <w:tcW w:w="709" w:type="dxa"/>
            <w:tcBorders>
              <w:top w:val="single" w:color="000000" w:sz="4" w:space="0"/>
              <w:left w:val="single" w:color="000000" w:sz="4" w:space="0"/>
              <w:bottom w:val="single" w:color="000000" w:sz="4" w:space="0"/>
              <w:right w:val="single" w:color="000000"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10</w:t>
            </w:r>
          </w:p>
        </w:tc>
        <w:tc>
          <w:tcPr>
            <w:tcW w:w="2552" w:type="dxa"/>
            <w:tcBorders>
              <w:top w:val="single" w:color="000000" w:sz="4" w:space="0"/>
              <w:left w:val="single" w:color="000000" w:sz="4" w:space="0"/>
              <w:bottom w:val="single" w:color="000000" w:sz="4" w:space="0"/>
              <w:right w:val="single" w:color="auto"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lang w:val="en-US" w:eastAsia="zh-CN"/>
              </w:rPr>
              <w:t>-</w:t>
            </w:r>
          </w:p>
        </w:tc>
        <w:tc>
          <w:tcPr>
            <w:tcW w:w="1275"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100</w:t>
            </w:r>
          </w:p>
        </w:tc>
        <w:tc>
          <w:tcPr>
            <w:tcW w:w="1276" w:type="dxa"/>
            <w:tcBorders>
              <w:top w:val="single" w:color="auto" w:sz="4" w:space="0"/>
              <w:left w:val="single" w:color="auto" w:sz="4" w:space="0"/>
              <w:bottom w:val="single" w:color="auto" w:sz="4" w:space="0"/>
              <w:right w:val="single" w:color="auto" w:sz="4" w:space="0"/>
            </w:tcBorders>
            <w:vAlign w:val="center"/>
          </w:tcPr>
          <w:p>
            <w:pPr>
              <w:spacing w:after="0" w:line="360" w:lineRule="auto"/>
              <w:jc w:val="center"/>
              <w:rPr>
                <w:rFonts w:hint="default" w:ascii="宋体" w:hAnsi="宋体" w:eastAsia="宋体" w:cs="宋体"/>
                <w:color w:val="000000"/>
                <w:szCs w:val="21"/>
                <w:lang w:val="en-US" w:eastAsia="zh-CN"/>
              </w:rPr>
            </w:pPr>
            <w:r>
              <w:rPr>
                <w:rFonts w:hint="eastAsia" w:ascii="宋体" w:hAnsi="宋体" w:eastAsia="宋体" w:cs="宋体"/>
                <w:color w:val="000000"/>
                <w:szCs w:val="21"/>
                <w:lang w:val="en-US" w:eastAsia="zh-CN"/>
              </w:rPr>
              <w:t>1000</w:t>
            </w:r>
          </w:p>
        </w:tc>
        <w:tc>
          <w:tcPr>
            <w:tcW w:w="1134" w:type="dxa"/>
            <w:tcBorders>
              <w:top w:val="single" w:color="auto" w:sz="4" w:space="0"/>
              <w:left w:val="single" w:color="auto" w:sz="4" w:space="0"/>
              <w:bottom w:val="single" w:color="auto" w:sz="4" w:space="0"/>
              <w:right w:val="single" w:color="000000" w:sz="4" w:space="0"/>
            </w:tcBorders>
            <w:vAlign w:val="center"/>
          </w:tcPr>
          <w:p>
            <w:pPr>
              <w:spacing w:after="0" w:line="360" w:lineRule="auto"/>
              <w:jc w:val="center"/>
              <w:rPr>
                <w:rFonts w:hint="eastAsia" w:ascii="宋体" w:hAnsi="宋体" w:eastAsia="宋体" w:cs="宋体"/>
                <w:color w:val="000000"/>
                <w:szCs w:val="21"/>
              </w:rPr>
            </w:pPr>
            <w:r>
              <w:rPr>
                <w:rFonts w:hint="eastAsia" w:ascii="宋体" w:hAnsi="宋体" w:eastAsia="宋体" w:cs="宋体"/>
                <w:color w:val="000000"/>
                <w:szCs w:val="21"/>
              </w:rPr>
              <w:t>/</w:t>
            </w:r>
          </w:p>
        </w:tc>
      </w:tr>
      <w:tr>
        <w:tblPrEx>
          <w:tblLayout w:type="fixed"/>
          <w:tblCellMar>
            <w:top w:w="0" w:type="dxa"/>
            <w:left w:w="108" w:type="dxa"/>
            <w:bottom w:w="0" w:type="dxa"/>
            <w:right w:w="108" w:type="dxa"/>
          </w:tblCellMar>
        </w:tblPrEx>
        <w:trPr>
          <w:trHeight w:val="620" w:hRule="atLeast"/>
          <w:jc w:val="center"/>
        </w:trPr>
        <w:tc>
          <w:tcPr>
            <w:tcW w:w="709" w:type="dxa"/>
            <w:gridSpan w:val="2"/>
            <w:tcBorders>
              <w:top w:val="single" w:color="000000" w:sz="4" w:space="0"/>
              <w:left w:val="single" w:color="000000" w:sz="4" w:space="0"/>
              <w:bottom w:val="single" w:color="000000" w:sz="4" w:space="0"/>
              <w:right w:val="single" w:color="000000" w:sz="4" w:space="0"/>
            </w:tcBorders>
            <w:vAlign w:val="center"/>
          </w:tcPr>
          <w:p>
            <w:pPr>
              <w:widowControl/>
              <w:spacing w:after="0" w:line="360" w:lineRule="auto"/>
              <w:jc w:val="center"/>
              <w:textAlignment w:val="center"/>
              <w:rPr>
                <w:rFonts w:hint="eastAsia" w:ascii="宋体" w:hAnsi="宋体" w:eastAsia="宋体" w:cs="仿宋_GB2312"/>
                <w:szCs w:val="21"/>
              </w:rPr>
            </w:pPr>
          </w:p>
        </w:tc>
        <w:tc>
          <w:tcPr>
            <w:tcW w:w="7366" w:type="dxa"/>
            <w:gridSpan w:val="5"/>
            <w:tcBorders>
              <w:top w:val="single" w:color="000000" w:sz="4" w:space="0"/>
              <w:left w:val="single" w:color="000000" w:sz="4" w:space="0"/>
              <w:bottom w:val="single" w:color="000000" w:sz="4" w:space="0"/>
              <w:right w:val="single" w:color="000000" w:sz="4" w:space="0"/>
            </w:tcBorders>
            <w:vAlign w:val="center"/>
          </w:tcPr>
          <w:p>
            <w:pPr>
              <w:widowControl/>
              <w:spacing w:after="0" w:line="360" w:lineRule="auto"/>
              <w:jc w:val="center"/>
              <w:textAlignment w:val="center"/>
              <w:rPr>
                <w:rFonts w:hint="eastAsia" w:ascii="宋体" w:hAnsi="宋体" w:eastAsia="宋体" w:cs="仿宋_GB2312"/>
                <w:szCs w:val="21"/>
                <w:lang w:eastAsia="zh-CN"/>
              </w:rPr>
            </w:pPr>
            <w:r>
              <w:rPr>
                <w:rFonts w:hint="eastAsia" w:ascii="宋体" w:hAnsi="宋体" w:eastAsia="宋体" w:cs="仿宋_GB2312"/>
                <w:szCs w:val="21"/>
              </w:rPr>
              <w:t>总金额</w:t>
            </w:r>
            <w:r>
              <w:rPr>
                <w:rFonts w:hint="eastAsia" w:ascii="宋体" w:hAnsi="宋体" w:eastAsia="宋体" w:cs="仿宋_GB2312"/>
                <w:szCs w:val="21"/>
                <w:lang w:eastAsia="zh-CN"/>
              </w:rPr>
              <w:t>（元）</w:t>
            </w:r>
          </w:p>
        </w:tc>
        <w:tc>
          <w:tcPr>
            <w:tcW w:w="1276" w:type="dxa"/>
            <w:tcBorders>
              <w:top w:val="single" w:color="000000" w:sz="4" w:space="0"/>
              <w:left w:val="single" w:color="000000" w:sz="4" w:space="0"/>
              <w:bottom w:val="single" w:color="000000" w:sz="4" w:space="0"/>
              <w:right w:val="single" w:color="000000" w:sz="4" w:space="0"/>
            </w:tcBorders>
            <w:vAlign w:val="center"/>
          </w:tcPr>
          <w:p>
            <w:pPr>
              <w:widowControl/>
              <w:spacing w:after="0" w:line="360" w:lineRule="auto"/>
              <w:jc w:val="center"/>
              <w:textAlignment w:val="center"/>
              <w:rPr>
                <w:rFonts w:hint="default" w:ascii="宋体" w:hAnsi="宋体" w:eastAsia="宋体" w:cs="仿宋_GB2312"/>
                <w:szCs w:val="21"/>
                <w:lang w:val="en-US" w:eastAsia="zh-CN"/>
              </w:rPr>
            </w:pPr>
            <w:r>
              <w:rPr>
                <w:rFonts w:hint="eastAsia" w:ascii="宋体" w:hAnsi="宋体" w:eastAsia="宋体" w:cs="仿宋_GB2312"/>
                <w:szCs w:val="21"/>
                <w:lang w:val="en-US" w:eastAsia="zh-CN"/>
              </w:rPr>
              <w:t xml:space="preserve">114130 </w:t>
            </w:r>
          </w:p>
        </w:tc>
        <w:tc>
          <w:tcPr>
            <w:tcW w:w="1134" w:type="dxa"/>
            <w:tcBorders>
              <w:top w:val="single" w:color="auto" w:sz="4" w:space="0"/>
              <w:left w:val="single" w:color="000000" w:sz="4" w:space="0"/>
              <w:bottom w:val="single" w:color="000000" w:sz="4" w:space="0"/>
              <w:right w:val="single" w:color="000000" w:sz="4" w:space="0"/>
            </w:tcBorders>
            <w:vAlign w:val="center"/>
          </w:tcPr>
          <w:p>
            <w:pPr>
              <w:widowControl/>
              <w:spacing w:after="0" w:line="360" w:lineRule="auto"/>
              <w:jc w:val="center"/>
              <w:textAlignment w:val="center"/>
              <w:rPr>
                <w:rFonts w:hint="default" w:ascii="宋体" w:hAnsi="宋体" w:eastAsia="宋体" w:cs="仿宋_GB2312"/>
                <w:szCs w:val="21"/>
                <w:lang w:val="en-US" w:eastAsia="zh-CN"/>
              </w:rPr>
            </w:pPr>
            <w:r>
              <w:rPr>
                <w:rFonts w:hint="eastAsia" w:ascii="宋体" w:hAnsi="宋体" w:eastAsia="宋体" w:cs="仿宋_GB2312"/>
                <w:szCs w:val="21"/>
                <w:lang w:val="en-US" w:eastAsia="zh-CN"/>
              </w:rPr>
              <w:t>增值税税率13%</w:t>
            </w:r>
          </w:p>
        </w:tc>
      </w:tr>
    </w:tbl>
    <w:p>
      <w:pPr>
        <w:spacing w:after="0" w:line="360" w:lineRule="auto"/>
        <w:jc w:val="left"/>
        <w:rPr>
          <w:rFonts w:hint="eastAsia" w:ascii="宋体" w:hAnsi="宋体" w:eastAsia="宋体" w:cs="Times New Roman"/>
          <w:szCs w:val="21"/>
        </w:rPr>
      </w:pPr>
      <w:r>
        <w:rPr>
          <w:rFonts w:hint="eastAsia" w:ascii="宋体" w:hAnsi="宋体" w:eastAsia="宋体" w:cs="Times New Roman"/>
          <w:szCs w:val="21"/>
        </w:rPr>
        <w:t>备注：</w:t>
      </w:r>
    </w:p>
    <w:p>
      <w:pPr>
        <w:pStyle w:val="21"/>
        <w:numPr>
          <w:ilvl w:val="0"/>
          <w:numId w:val="3"/>
        </w:numPr>
        <w:spacing w:after="0" w:line="360" w:lineRule="auto"/>
        <w:ind w:left="0" w:firstLine="0" w:firstLineChars="0"/>
        <w:jc w:val="left"/>
        <w:rPr>
          <w:rFonts w:hint="eastAsia" w:ascii="宋体" w:hAnsi="宋体" w:eastAsia="宋体" w:cs="Times New Roman"/>
          <w:szCs w:val="21"/>
        </w:rPr>
      </w:pPr>
      <w:r>
        <w:rPr>
          <w:rFonts w:hint="eastAsia" w:ascii="宋体" w:hAnsi="宋体" w:eastAsia="宋体" w:cs="Times New Roman"/>
          <w:szCs w:val="21"/>
        </w:rPr>
        <w:t>总金额根据现场安装数量为准据实结算，包括运输费、高处作业费、吊车费、辅材及打孔费、安装调试费、质保期售后服务、全额含税发票等所有费用。</w:t>
      </w:r>
    </w:p>
    <w:p>
      <w:pPr>
        <w:pStyle w:val="5"/>
        <w:numPr>
          <w:ilvl w:val="0"/>
          <w:numId w:val="3"/>
        </w:numPr>
        <w:spacing w:after="0" w:line="360" w:lineRule="auto"/>
        <w:ind w:left="0" w:firstLine="0"/>
        <w:rPr>
          <w:rFonts w:hint="eastAsia" w:cs="仿宋_GB2312"/>
          <w:sz w:val="21"/>
          <w:szCs w:val="21"/>
          <w:lang w:eastAsia="zh-CN"/>
        </w:rPr>
      </w:pPr>
      <w:r>
        <w:rPr>
          <w:rFonts w:hint="eastAsia" w:cs="仿宋_GB2312"/>
          <w:color w:val="auto"/>
          <w:sz w:val="21"/>
          <w:szCs w:val="21"/>
          <w:lang w:eastAsia="zh-CN"/>
        </w:rPr>
        <w:t>除采购清单列明的内容外，供应商为保证其所安装的设备运转正常，必须完善设备系统与采购人所提供的电气和排水系统的管线连接，包括水管、气管和电源线管的安装和穿墙套管及安装设备过程中需要的打洞和修补工作等内容，涉及的安装、运输、保险、设备的设计安装调试费、满足施工及验收要求所需的相关试验费用，均应包括在本项目合同金额内。不论是否在上述采购清单中列明，采购人均认为此费用已包括在本项目总价中而不予另外支付。</w:t>
      </w:r>
    </w:p>
    <w:p>
      <w:pPr>
        <w:pStyle w:val="5"/>
        <w:numPr>
          <w:ilvl w:val="0"/>
          <w:numId w:val="3"/>
        </w:numPr>
        <w:spacing w:after="0" w:line="360" w:lineRule="auto"/>
        <w:ind w:left="0" w:firstLine="0"/>
        <w:rPr>
          <w:rFonts w:hint="eastAsia" w:cs="仿宋_GB2312"/>
          <w:sz w:val="21"/>
          <w:szCs w:val="21"/>
          <w:lang w:eastAsia="zh-CN"/>
        </w:rPr>
      </w:pPr>
      <w:r>
        <w:rPr>
          <w:rFonts w:hint="eastAsia" w:cs="仿宋_GB2312"/>
          <w:color w:val="auto"/>
          <w:sz w:val="21"/>
          <w:szCs w:val="21"/>
          <w:lang w:eastAsia="zh-CN"/>
        </w:rPr>
        <w:t>本项目合同范围内的建设内容，可能因位置和走向变化而引起的管线、管沟、预埋件（孔）工程量变化，所产生费用已包含在报价风险中。采购人不因此调整任何费用。</w:t>
      </w:r>
    </w:p>
    <w:p>
      <w:pPr>
        <w:tabs>
          <w:tab w:val="left" w:pos="540"/>
        </w:tabs>
        <w:adjustRightInd w:val="0"/>
        <w:snapToGrid w:val="0"/>
        <w:spacing w:after="0" w:line="360" w:lineRule="auto"/>
        <w:jc w:val="left"/>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三、资格要求</w:t>
      </w:r>
    </w:p>
    <w:p>
      <w:pPr>
        <w:numPr>
          <w:ilvl w:val="0"/>
          <w:numId w:val="4"/>
        </w:numPr>
        <w:spacing w:after="0" w:line="360" w:lineRule="auto"/>
        <w:jc w:val="left"/>
        <w:rPr>
          <w:rFonts w:hint="eastAsia" w:ascii="宋体" w:hAnsi="宋体" w:eastAsia="宋体" w:cs="Times New Roman"/>
          <w:szCs w:val="21"/>
        </w:rPr>
      </w:pPr>
      <w:r>
        <w:rPr>
          <w:rFonts w:hint="eastAsia" w:ascii="宋体" w:hAnsi="宋体" w:eastAsia="宋体" w:cs="Times New Roman"/>
          <w:szCs w:val="21"/>
        </w:rPr>
        <w:t>在中华人民共和国境内合法注册成立的企业，具有合法经营资格及独立承担民事责任能力的法人。</w:t>
      </w:r>
    </w:p>
    <w:p>
      <w:pPr>
        <w:numPr>
          <w:ilvl w:val="0"/>
          <w:numId w:val="4"/>
        </w:numPr>
        <w:spacing w:after="0" w:line="360" w:lineRule="auto"/>
        <w:jc w:val="left"/>
        <w:rPr>
          <w:rFonts w:hint="eastAsia" w:ascii="宋体" w:hAnsi="宋体" w:eastAsia="宋体" w:cs="Times New Roman"/>
          <w:kern w:val="0"/>
          <w:szCs w:val="21"/>
        </w:rPr>
      </w:pPr>
      <w:r>
        <w:rPr>
          <w:rFonts w:hint="eastAsia" w:ascii="宋体" w:hAnsi="宋体" w:eastAsia="宋体" w:cs="Times New Roman"/>
          <w:szCs w:val="21"/>
        </w:rPr>
        <w:t>本项目不接受联合体竞价。</w:t>
      </w:r>
    </w:p>
    <w:p>
      <w:pPr>
        <w:tabs>
          <w:tab w:val="left" w:pos="540"/>
        </w:tabs>
        <w:adjustRightInd w:val="0"/>
        <w:snapToGrid w:val="0"/>
        <w:spacing w:after="0" w:line="360" w:lineRule="auto"/>
        <w:jc w:val="left"/>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四、安装时间、地点</w:t>
      </w:r>
    </w:p>
    <w:p>
      <w:pPr>
        <w:widowControl/>
        <w:topLinePunct/>
        <w:autoSpaceDE w:val="0"/>
        <w:autoSpaceDN w:val="0"/>
        <w:adjustRightInd w:val="0"/>
        <w:spacing w:after="0" w:line="360" w:lineRule="auto"/>
        <w:jc w:val="left"/>
        <w:rPr>
          <w:rFonts w:hint="eastAsia" w:ascii="宋体" w:hAnsi="宋体" w:eastAsia="宋体" w:cs="仿宋_GB2312"/>
          <w:color w:val="0000FF"/>
          <w:kern w:val="0"/>
          <w:szCs w:val="21"/>
        </w:rPr>
      </w:pPr>
      <w:r>
        <w:rPr>
          <w:rFonts w:hint="eastAsia" w:ascii="宋体" w:hAnsi="宋体" w:eastAsia="宋体" w:cs="仿宋_GB2312"/>
          <w:kern w:val="0"/>
          <w:szCs w:val="21"/>
        </w:rPr>
        <w:t>（一）安装时间：签订合同后</w:t>
      </w:r>
      <w:r>
        <w:rPr>
          <w:rFonts w:hint="eastAsia" w:ascii="宋体" w:hAnsi="宋体" w:eastAsia="宋体" w:cs="仿宋_GB2312"/>
          <w:kern w:val="0"/>
          <w:szCs w:val="21"/>
          <w:lang w:val="en-US" w:eastAsia="zh-CN"/>
        </w:rPr>
        <w:t>10个工作</w:t>
      </w:r>
      <w:r>
        <w:rPr>
          <w:rFonts w:hint="eastAsia" w:ascii="宋体" w:hAnsi="宋体" w:eastAsia="宋体" w:cs="仿宋_GB2312"/>
          <w:kern w:val="0"/>
          <w:szCs w:val="21"/>
        </w:rPr>
        <w:t>日内按要求交付全部货物并完成安装。</w:t>
      </w:r>
    </w:p>
    <w:p>
      <w:pPr>
        <w:widowControl/>
        <w:topLinePunct/>
        <w:autoSpaceDE w:val="0"/>
        <w:autoSpaceDN w:val="0"/>
        <w:adjustRightInd w:val="0"/>
        <w:spacing w:after="0" w:line="360" w:lineRule="auto"/>
        <w:jc w:val="left"/>
        <w:rPr>
          <w:rFonts w:hint="default" w:ascii="宋体" w:hAnsi="宋体" w:eastAsia="宋体" w:cs="仿宋_GB2312"/>
          <w:kern w:val="0"/>
          <w:szCs w:val="21"/>
          <w:lang w:val="en-US" w:eastAsia="zh-CN"/>
        </w:rPr>
      </w:pPr>
      <w:r>
        <w:rPr>
          <w:rFonts w:hint="eastAsia" w:ascii="宋体" w:hAnsi="宋体" w:eastAsia="宋体" w:cs="仿宋_GB2312"/>
          <w:kern w:val="0"/>
          <w:szCs w:val="21"/>
        </w:rPr>
        <w:t>（二）安装地点：</w:t>
      </w:r>
      <w:r>
        <w:rPr>
          <w:rFonts w:hint="eastAsia" w:ascii="宋体" w:hAnsi="宋体" w:eastAsia="宋体" w:cs="仿宋_GB2312"/>
          <w:kern w:val="0"/>
          <w:szCs w:val="21"/>
          <w:lang w:val="en-US" w:eastAsia="zh-CN"/>
        </w:rPr>
        <w:t>韶关市浈江区犁市镇</w:t>
      </w:r>
      <w:r>
        <w:rPr>
          <w:rFonts w:hint="eastAsia" w:ascii="宋体" w:hAnsi="宋体" w:eastAsia="宋体" w:cs="宋体"/>
          <w:color w:val="000000"/>
          <w:szCs w:val="21"/>
          <w:lang w:val="en-US" w:eastAsia="zh-CN"/>
        </w:rPr>
        <w:t>韶关韶城</w:t>
      </w:r>
      <w:r>
        <w:rPr>
          <w:rFonts w:hint="eastAsia" w:ascii="宋体" w:hAnsi="宋体" w:eastAsia="宋体" w:cs="宋体"/>
          <w:color w:val="000000"/>
          <w:szCs w:val="21"/>
        </w:rPr>
        <w:t>实业有限责任公司</w:t>
      </w:r>
    </w:p>
    <w:p>
      <w:pPr>
        <w:pStyle w:val="5"/>
        <w:topLinePunct/>
        <w:spacing w:after="0" w:line="360" w:lineRule="auto"/>
        <w:rPr>
          <w:rFonts w:hint="eastAsia" w:cs="仿宋_GB2312"/>
          <w:sz w:val="21"/>
          <w:szCs w:val="21"/>
          <w:lang w:eastAsia="zh-CN"/>
        </w:rPr>
      </w:pPr>
      <w:r>
        <w:rPr>
          <w:rFonts w:hint="eastAsia" w:cs="仿宋_GB2312"/>
          <w:color w:val="auto"/>
          <w:sz w:val="21"/>
          <w:szCs w:val="21"/>
          <w:lang w:eastAsia="zh-CN"/>
        </w:rPr>
        <w:t>（三）</w:t>
      </w:r>
      <w:r>
        <w:rPr>
          <w:rFonts w:hint="eastAsia" w:cs="仿宋_GB2312"/>
          <w:sz w:val="21"/>
          <w:szCs w:val="21"/>
          <w:lang w:eastAsia="zh-CN"/>
        </w:rPr>
        <w:t>供应商安装人员应与货物同时到达交货地点（采购人允许不同时到达的情形除外）。</w:t>
      </w:r>
    </w:p>
    <w:p>
      <w:pPr>
        <w:tabs>
          <w:tab w:val="left" w:pos="540"/>
        </w:tabs>
        <w:adjustRightInd w:val="0"/>
        <w:snapToGrid w:val="0"/>
        <w:spacing w:after="0" w:line="360" w:lineRule="auto"/>
        <w:jc w:val="left"/>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五、服务要求</w:t>
      </w:r>
    </w:p>
    <w:p>
      <w:pPr>
        <w:spacing w:after="0" w:line="360" w:lineRule="auto"/>
        <w:jc w:val="left"/>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（一）履约服务要求</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1.供应商必须严格执行施工规范、安全操作规程、防火安全规定、环境保护规定。做好各项质量检查记录，妥善保护好施工现场周围的设备管线、设施设备。如供应商未按上述要求施工，产生相关经济问题和法律责任由供应商承担。</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2.安装人员必须具备与本项目相关行业的资质和技术水平，需持有制冷与空调作业证、高处作业证、焊接与热切割等相关空调安装资格，在进行安装服务前须提供相关资质证书给采购人审核。</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3.货物到达交货地点之前的所有保险费用和派往采购人进行服务人员的人身险和其他有关险种，涉及费用由供应商负责。</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4.所有设备均由供应商免费送货至采购人指定的交货地点并安装连接，将设备调试到最佳状态，安装调试以说明书的技术参数为标准。</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5.供应商在设备调试完毕后进行免费的现场培训，对供应商人员给予指导和演示，使其能掌握实际常规操作、排除一般故障的能力。</w:t>
      </w:r>
    </w:p>
    <w:p>
      <w:pPr>
        <w:spacing w:after="0" w:line="360" w:lineRule="auto"/>
        <w:jc w:val="left"/>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（二）质保期服务要求</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1.质保期服务标准需与该产品出厂市价标准服务一致，同时包括整机</w:t>
      </w:r>
      <w:r>
        <w:rPr>
          <w:rFonts w:hint="eastAsia" w:ascii="宋体" w:hAnsi="宋体" w:eastAsia="宋体" w:cs="仿宋_GB2312"/>
          <w:kern w:val="0"/>
          <w:szCs w:val="21"/>
          <w:lang w:val="en-US" w:eastAsia="zh-CN"/>
        </w:rPr>
        <w:t>6</w:t>
      </w:r>
      <w:r>
        <w:rPr>
          <w:rFonts w:hint="eastAsia" w:ascii="宋体" w:hAnsi="宋体" w:eastAsia="宋体" w:cs="仿宋_GB2312"/>
          <w:kern w:val="0"/>
          <w:szCs w:val="21"/>
        </w:rPr>
        <w:t>年质保（含冷媒）。质保期自货物最终验收合格之日起算，质保期内供应商对所供货物实行包修、包换、包退、包维护保养。</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2.供应商提供24小时服务热线，保证在接到报修电话后24小时内上门服务，且在48小时内解决问题；48小时内不能排除故障的，供应商必须提供规格、档次、配置不低于故障设备的备用设备，以保证系统的正常运转。</w:t>
      </w:r>
    </w:p>
    <w:p>
      <w:pPr>
        <w:widowControl/>
        <w:overflowPunct w:val="0"/>
        <w:autoSpaceDE w:val="0"/>
        <w:autoSpaceDN w:val="0"/>
        <w:adjustRightInd w:val="0"/>
        <w:spacing w:after="0" w:line="360" w:lineRule="auto"/>
        <w:jc w:val="left"/>
        <w:rPr>
          <w:rFonts w:hint="eastAsia" w:ascii="宋体" w:hAnsi="宋体" w:eastAsia="宋体" w:cs="宋体"/>
          <w:b/>
          <w:bCs/>
          <w:color w:val="000000"/>
          <w:kern w:val="0"/>
          <w:szCs w:val="21"/>
        </w:rPr>
      </w:pPr>
      <w:r>
        <w:rPr>
          <w:rFonts w:hint="eastAsia" w:ascii="宋体" w:hAnsi="宋体" w:eastAsia="宋体" w:cs="仿宋_GB2312"/>
          <w:kern w:val="0"/>
          <w:szCs w:val="21"/>
        </w:rPr>
        <w:t>3.同一台机主要部件（压缩机、蒸发机、主控板、冷凝器）1个月内连2次出现同一故障时，须于2个工作日内无偿更换同规格的设备。</w:t>
      </w:r>
    </w:p>
    <w:p>
      <w:pPr>
        <w:tabs>
          <w:tab w:val="left" w:pos="540"/>
        </w:tabs>
        <w:adjustRightInd w:val="0"/>
        <w:snapToGrid w:val="0"/>
        <w:spacing w:after="0" w:line="360" w:lineRule="auto"/>
        <w:jc w:val="left"/>
        <w:rPr>
          <w:rFonts w:hint="eastAsia" w:ascii="宋体" w:hAnsi="宋体" w:eastAsia="宋体" w:cs="仿宋_GB2312"/>
          <w:kern w:val="0"/>
          <w:szCs w:val="21"/>
        </w:rPr>
      </w:pPr>
      <w:r>
        <w:rPr>
          <w:rFonts w:hint="eastAsia" w:ascii="宋体" w:hAnsi="宋体" w:eastAsia="宋体" w:cs="宋体"/>
          <w:b/>
          <w:bCs/>
          <w:color w:val="000000"/>
          <w:kern w:val="0"/>
          <w:szCs w:val="21"/>
        </w:rPr>
        <w:t>六、验收标准</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（一）装箱单（包括但不限于质量合格证书、保修证书、产品使用说明书及其他应随产品一同装箱的技术资料等)。</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（二）验收时间：采购人应于完成安装后</w:t>
      </w:r>
      <w:r>
        <w:rPr>
          <w:rFonts w:hint="eastAsia" w:ascii="宋体" w:hAnsi="宋体" w:eastAsia="宋体" w:cs="仿宋_GB2312"/>
          <w:kern w:val="0"/>
          <w:szCs w:val="21"/>
          <w:lang w:val="en-US" w:eastAsia="zh-CN"/>
        </w:rPr>
        <w:t>10</w:t>
      </w:r>
      <w:r>
        <w:rPr>
          <w:rFonts w:hint="eastAsia" w:ascii="宋体" w:hAnsi="宋体" w:eastAsia="宋体" w:cs="仿宋_GB2312"/>
          <w:kern w:val="0"/>
          <w:szCs w:val="21"/>
        </w:rPr>
        <w:t>日内组织验收。</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（三）货物若有国家标准按照国家标准验收，若无国家标准按行业标准验收，为原制造商制造的全新产品，整机无污染，无侵权行为、表面无划损、无任何缺陷隐患，在中国境内可以常规安全合法使用。</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（四）货物为原厂尚未启封全新包装，具备出厂合格证，序列号、包装箱号与出厂批号一致，并可追索查阅。所有随设备的附件必须齐全。</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（五）供应商应将关键主机设备的用户手册、保修手册、有关单位资料及配备件、随机工具等交付给采购人，使用操作及安全须知等重要资料应附有中文说明。</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六）采购人组成验收小组按国家有关规定、规范进行验收，必要时邀请相关的专业人员或机构参与验收。因货物质量问题发生争议时，由本地质量技术监督部门鉴定。货物符合质量技术标准的，鉴定费由采购人承担；否则鉴定费由供应商承担。</w:t>
      </w:r>
    </w:p>
    <w:p>
      <w:pPr>
        <w:widowControl/>
        <w:overflowPunct w:val="0"/>
        <w:autoSpaceDE w:val="0"/>
        <w:autoSpaceDN w:val="0"/>
        <w:adjustRightInd w:val="0"/>
        <w:spacing w:after="0" w:line="360" w:lineRule="auto"/>
        <w:jc w:val="left"/>
        <w:rPr>
          <w:rFonts w:hint="eastAsia" w:ascii="宋体" w:hAnsi="宋体" w:eastAsia="宋体" w:cs="宋体"/>
          <w:b/>
          <w:bCs/>
          <w:color w:val="000000"/>
          <w:kern w:val="0"/>
          <w:szCs w:val="21"/>
        </w:rPr>
      </w:pPr>
      <w:r>
        <w:rPr>
          <w:rFonts w:hint="eastAsia" w:ascii="宋体" w:hAnsi="宋体" w:eastAsia="宋体" w:cs="仿宋_GB2312"/>
          <w:kern w:val="0"/>
          <w:szCs w:val="21"/>
        </w:rPr>
        <w:t>（七）在产品安装完成后，</w:t>
      </w:r>
      <w:r>
        <w:rPr>
          <w:rFonts w:hint="eastAsia" w:ascii="宋体" w:hAnsi="宋体" w:eastAsia="宋体" w:cs="仿宋_GB2312"/>
          <w:kern w:val="0"/>
          <w:szCs w:val="21"/>
          <w:lang w:val="en-US" w:eastAsia="zh-CN"/>
        </w:rPr>
        <w:t>供应商</w:t>
      </w:r>
      <w:r>
        <w:rPr>
          <w:rFonts w:hint="eastAsia" w:ascii="宋体" w:hAnsi="宋体" w:eastAsia="宋体" w:cs="仿宋_GB2312"/>
          <w:kern w:val="0"/>
          <w:szCs w:val="21"/>
        </w:rPr>
        <w:t>应主动配合</w:t>
      </w:r>
      <w:r>
        <w:rPr>
          <w:rFonts w:hint="eastAsia" w:ascii="宋体" w:hAnsi="宋体" w:eastAsia="宋体" w:cs="仿宋_GB2312"/>
          <w:kern w:val="0"/>
          <w:szCs w:val="21"/>
          <w:lang w:val="en-US" w:eastAsia="zh-CN"/>
        </w:rPr>
        <w:t>采购人</w:t>
      </w:r>
      <w:r>
        <w:rPr>
          <w:rFonts w:hint="eastAsia" w:ascii="宋体" w:hAnsi="宋体" w:eastAsia="宋体" w:cs="仿宋_GB2312"/>
          <w:kern w:val="0"/>
          <w:szCs w:val="21"/>
        </w:rPr>
        <w:t>的验收小组进行验收，如检测达不到国家规定的质量和环保要求，采购人有权要求退货或换货，直至通过验收。供应商须承担采购人因此造成的相关损失。</w:t>
      </w:r>
    </w:p>
    <w:p>
      <w:pPr>
        <w:tabs>
          <w:tab w:val="left" w:pos="540"/>
        </w:tabs>
        <w:adjustRightInd w:val="0"/>
        <w:snapToGrid w:val="0"/>
        <w:spacing w:after="0" w:line="360" w:lineRule="auto"/>
        <w:jc w:val="left"/>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七、质量保证</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（一）供应商保证其向采购人提供的货物为全新的、完整的、未开封的、未使用过的原装合格正品，并保证在质保期内按照生产厂家的服务标准提供免费售后服务，包括整机</w:t>
      </w:r>
      <w:r>
        <w:rPr>
          <w:rFonts w:hint="eastAsia" w:ascii="宋体" w:hAnsi="宋体" w:eastAsia="宋体" w:cs="仿宋_GB2312"/>
          <w:kern w:val="0"/>
          <w:szCs w:val="21"/>
          <w:lang w:val="en-US" w:eastAsia="zh-CN"/>
        </w:rPr>
        <w:t>6</w:t>
      </w:r>
      <w:r>
        <w:rPr>
          <w:rFonts w:hint="eastAsia" w:ascii="宋体" w:hAnsi="宋体" w:eastAsia="宋体" w:cs="仿宋_GB2312"/>
          <w:kern w:val="0"/>
          <w:szCs w:val="21"/>
        </w:rPr>
        <w:t>年质保（含冷媒)。如国家/生产厂家对本项目所涉及货物的质量保证期的规定高于本项目的要求，应按国家/生产厂家的规定执行，质量保质期自双方代表在设备验收单上签字之日起计算。</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（二）供应商保证提供的货物符合中华人民共和国国家相关标准、相关行业标准、技术规范以及原厂商质量标准，并在出厂前通过原厂商质量检测和检验，符合厂家或国家规定的质量、规格和性能的要求。</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（三）供应商须保证合同内提供的货物（或者设备）不侵犯任何第三方的知识产权。否则，供应商须承担对第三方的侵权责任并承担因此而发生的所有费用。</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四）如果供应商软件升级，在不增加新功能的情况下采购人将免费获得新软件的许可使用权。供应商保证按照采购人要求及时派出合格的技术人员提供准确、充足的技术服务及必要的技术培训，以满足安装、试运行、性能测试、运转及维护的要求。</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五）供应商应在收到采购人的报修或技术服务要求的通知后，质量保证期内免费维修更换有缺陷的货物、部件或提供相应的质量保证期服务，质量保证期外提供同等条件的服务，可以收取成本费（服务分项价格按照双方约定价格，以采购人确认为准)，如造成采购人损失的，采购人保留索赔的权利。</w:t>
      </w:r>
    </w:p>
    <w:p>
      <w:pPr>
        <w:tabs>
          <w:tab w:val="left" w:pos="540"/>
        </w:tabs>
        <w:adjustRightInd w:val="0"/>
        <w:snapToGrid w:val="0"/>
        <w:spacing w:after="0" w:line="360" w:lineRule="auto"/>
        <w:jc w:val="left"/>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八、双方责任</w:t>
      </w:r>
    </w:p>
    <w:p>
      <w:pPr>
        <w:pStyle w:val="77"/>
        <w:spacing w:after="0" w:line="360" w:lineRule="auto"/>
        <w:jc w:val="left"/>
        <w:rPr>
          <w:rFonts w:hint="eastAsia" w:hAnsi="宋体" w:eastAsia="宋体" w:cs="黑体"/>
          <w:szCs w:val="21"/>
        </w:rPr>
      </w:pPr>
      <w:r>
        <w:rPr>
          <w:rFonts w:hint="eastAsia" w:hAnsi="宋体" w:eastAsia="宋体" w:cs="黑体"/>
          <w:szCs w:val="21"/>
        </w:rPr>
        <w:t>（一）采购人责任</w:t>
      </w:r>
    </w:p>
    <w:p>
      <w:pPr>
        <w:pStyle w:val="77"/>
        <w:spacing w:after="0" w:line="360" w:lineRule="auto"/>
        <w:jc w:val="left"/>
        <w:rPr>
          <w:rFonts w:hint="eastAsia" w:hAnsi="宋体" w:eastAsia="宋体" w:cs="黑体"/>
          <w:szCs w:val="21"/>
        </w:rPr>
      </w:pPr>
      <w:r>
        <w:rPr>
          <w:rFonts w:hint="eastAsia" w:hAnsi="宋体" w:eastAsia="宋体" w:cs="黑体"/>
          <w:szCs w:val="21"/>
        </w:rPr>
        <w:t>1.采购人向供应商提供需安装空调的具体位置，并为供应商开展空调安装工作提供必要的条件。</w:t>
      </w:r>
    </w:p>
    <w:p>
      <w:pPr>
        <w:pStyle w:val="77"/>
        <w:spacing w:after="0" w:line="360" w:lineRule="auto"/>
        <w:jc w:val="left"/>
        <w:rPr>
          <w:rFonts w:hint="eastAsia" w:hAnsi="宋体" w:eastAsia="宋体" w:cs="黑体"/>
          <w:szCs w:val="21"/>
        </w:rPr>
      </w:pPr>
      <w:r>
        <w:rPr>
          <w:rFonts w:hint="eastAsia" w:hAnsi="宋体" w:eastAsia="宋体" w:cs="黑体"/>
          <w:szCs w:val="21"/>
        </w:rPr>
        <w:t>2.按要求结算费用。</w:t>
      </w:r>
    </w:p>
    <w:p>
      <w:pPr>
        <w:pStyle w:val="77"/>
        <w:spacing w:after="0" w:line="360" w:lineRule="auto"/>
        <w:jc w:val="left"/>
        <w:rPr>
          <w:rFonts w:hint="eastAsia" w:hAnsi="宋体" w:eastAsia="宋体" w:cs="黑体"/>
          <w:szCs w:val="21"/>
        </w:rPr>
      </w:pPr>
      <w:r>
        <w:rPr>
          <w:rFonts w:hint="eastAsia" w:hAnsi="宋体" w:eastAsia="宋体" w:cs="黑体"/>
          <w:szCs w:val="21"/>
        </w:rPr>
        <w:t>（二）供应商责任</w:t>
      </w:r>
    </w:p>
    <w:p>
      <w:pPr>
        <w:pStyle w:val="77"/>
        <w:spacing w:after="0" w:line="360" w:lineRule="auto"/>
        <w:jc w:val="left"/>
        <w:rPr>
          <w:rFonts w:hint="eastAsia" w:hAnsi="宋体" w:eastAsia="宋体" w:cs="黑体"/>
          <w:szCs w:val="21"/>
        </w:rPr>
      </w:pPr>
      <w:r>
        <w:rPr>
          <w:rFonts w:hint="eastAsia" w:hAnsi="宋体" w:eastAsia="宋体" w:cs="黑体"/>
          <w:szCs w:val="21"/>
        </w:rPr>
        <w:t>1.安全责任：供应商应遵守单位各项监管制度以及国家级行业有关各项安全施工操作规程，安全作业，文明施工。合同执行过程中的一切安全责任全部由供应商自行承担，与采购人无关。同时提交施工人员</w:t>
      </w:r>
      <w:r>
        <w:rPr>
          <w:rFonts w:hint="eastAsia" w:hAnsi="宋体" w:eastAsia="宋体" w:cs="仿宋_GB2312"/>
          <w:szCs w:val="21"/>
        </w:rPr>
        <w:t>高处作业证、熔化焊接与热切割作业等特种作业操作证</w:t>
      </w:r>
      <w:r>
        <w:rPr>
          <w:rFonts w:hint="eastAsia" w:hAnsi="宋体" w:eastAsia="宋体" w:cs="黑体"/>
          <w:szCs w:val="21"/>
        </w:rPr>
        <w:t>（复印件）给采购人备查。</w:t>
      </w:r>
    </w:p>
    <w:p>
      <w:pPr>
        <w:pStyle w:val="77"/>
        <w:spacing w:after="0" w:line="360" w:lineRule="auto"/>
        <w:jc w:val="left"/>
        <w:rPr>
          <w:rFonts w:hint="eastAsia" w:hAnsi="宋体" w:eastAsia="宋体" w:cs="黑体"/>
          <w:szCs w:val="21"/>
        </w:rPr>
      </w:pPr>
      <w:r>
        <w:rPr>
          <w:rFonts w:hint="eastAsia" w:hAnsi="宋体" w:eastAsia="宋体" w:cs="黑体"/>
          <w:szCs w:val="21"/>
        </w:rPr>
        <w:t>2.按规定时间及要求完成所需空调的安装等事项。</w:t>
      </w:r>
    </w:p>
    <w:p>
      <w:pPr>
        <w:pStyle w:val="77"/>
        <w:spacing w:after="0" w:line="360" w:lineRule="auto"/>
        <w:jc w:val="left"/>
        <w:rPr>
          <w:rFonts w:hint="eastAsia" w:hAnsi="宋体" w:eastAsia="宋体" w:cs="仿宋_GB2312"/>
          <w:szCs w:val="21"/>
        </w:rPr>
      </w:pPr>
      <w:r>
        <w:rPr>
          <w:rFonts w:hint="eastAsia" w:hAnsi="宋体" w:eastAsia="宋体" w:cs="黑体"/>
          <w:szCs w:val="21"/>
        </w:rPr>
        <w:t>3.</w:t>
      </w:r>
      <w:r>
        <w:rPr>
          <w:rFonts w:hint="eastAsia" w:hAnsi="宋体" w:eastAsia="宋体" w:cs="仿宋_GB2312"/>
          <w:szCs w:val="21"/>
        </w:rPr>
        <w:t>严格遵守采购人有关工作管理要求，对工作中接触的采购人信息，具有保密义务。</w:t>
      </w:r>
    </w:p>
    <w:p>
      <w:pPr>
        <w:tabs>
          <w:tab w:val="left" w:pos="540"/>
        </w:tabs>
        <w:adjustRightInd w:val="0"/>
        <w:snapToGrid w:val="0"/>
        <w:spacing w:after="0" w:line="360" w:lineRule="auto"/>
        <w:jc w:val="left"/>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九、支付方式</w:t>
      </w:r>
    </w:p>
    <w:p>
      <w:pPr>
        <w:widowControl/>
        <w:overflowPunct w:val="0"/>
        <w:autoSpaceDE w:val="0"/>
        <w:autoSpaceDN w:val="0"/>
        <w:adjustRightInd w:val="0"/>
        <w:spacing w:after="0" w:line="360" w:lineRule="auto"/>
        <w:jc w:val="left"/>
        <w:rPr>
          <w:rFonts w:hint="eastAsia" w:ascii="宋体" w:hAnsi="宋体" w:eastAsia="宋体" w:cs="宋体"/>
          <w:b/>
          <w:bCs/>
          <w:color w:val="000000"/>
          <w:kern w:val="0"/>
          <w:szCs w:val="21"/>
        </w:rPr>
      </w:pPr>
      <w:r>
        <w:rPr>
          <w:rFonts w:hint="eastAsia" w:ascii="宋体" w:hAnsi="宋体" w:eastAsia="宋体" w:cs="仿宋_GB2312"/>
          <w:kern w:val="0"/>
          <w:szCs w:val="21"/>
        </w:rPr>
        <w:t>所有的货物交付采购人，安装完成并验收合格后，供应商开具增值税专用发票，采购人</w:t>
      </w:r>
      <w:r>
        <w:rPr>
          <w:rFonts w:hint="eastAsia" w:ascii="宋体" w:hAnsi="宋体" w:eastAsia="宋体" w:cs="仿宋_GB2312"/>
          <w:kern w:val="0"/>
          <w:szCs w:val="21"/>
          <w:lang w:val="en-US" w:eastAsia="zh-CN"/>
        </w:rPr>
        <w:t>30</w:t>
      </w:r>
      <w:r>
        <w:rPr>
          <w:rFonts w:hint="eastAsia" w:ascii="宋体" w:hAnsi="宋体" w:eastAsia="宋体" w:cs="仿宋_GB2312"/>
          <w:kern w:val="0"/>
          <w:szCs w:val="21"/>
        </w:rPr>
        <w:t xml:space="preserve">日内向供应商转账支付合同全额货款。供应商迟延开具发票的，采购人有权相应延期付款且不承担责任。    </w:t>
      </w:r>
    </w:p>
    <w:p>
      <w:pPr>
        <w:tabs>
          <w:tab w:val="left" w:pos="540"/>
        </w:tabs>
        <w:adjustRightInd w:val="0"/>
        <w:snapToGrid w:val="0"/>
        <w:spacing w:after="0" w:line="360" w:lineRule="auto"/>
        <w:jc w:val="left"/>
        <w:rPr>
          <w:rFonts w:hint="eastAsia" w:ascii="宋体" w:hAnsi="宋体" w:eastAsia="宋体" w:cs="宋体"/>
          <w:b/>
          <w:bCs/>
          <w:color w:val="000000"/>
          <w:kern w:val="0"/>
          <w:szCs w:val="21"/>
        </w:rPr>
      </w:pPr>
      <w:r>
        <w:rPr>
          <w:rFonts w:hint="eastAsia" w:ascii="宋体" w:hAnsi="宋体" w:eastAsia="宋体" w:cs="宋体"/>
          <w:b/>
          <w:bCs/>
          <w:color w:val="000000"/>
          <w:kern w:val="0"/>
          <w:szCs w:val="21"/>
        </w:rPr>
        <w:t>十、履约保证金</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合同签订后</w:t>
      </w:r>
      <w:r>
        <w:rPr>
          <w:rFonts w:hint="eastAsia" w:ascii="宋体" w:hAnsi="宋体" w:eastAsia="宋体" w:cs="仿宋_GB2312"/>
          <w:kern w:val="0"/>
          <w:szCs w:val="21"/>
          <w:lang w:val="en-US" w:eastAsia="zh-CN"/>
        </w:rPr>
        <w:t>10</w:t>
      </w:r>
      <w:r>
        <w:rPr>
          <w:rFonts w:hint="eastAsia" w:ascii="宋体" w:hAnsi="宋体" w:eastAsia="宋体" w:cs="仿宋_GB2312"/>
          <w:kern w:val="0"/>
          <w:szCs w:val="21"/>
        </w:rPr>
        <w:t>个工作日内供应商向采购人支付合同总额的5%作为履约保证金。</w:t>
      </w:r>
      <w:r>
        <w:rPr>
          <w:rFonts w:hint="eastAsia" w:ascii="宋体" w:hAnsi="宋体" w:eastAsia="宋体" w:cs="仿宋_GB2312"/>
          <w:kern w:val="0"/>
          <w:szCs w:val="21"/>
          <w:lang w:val="en-US" w:eastAsia="zh-CN"/>
        </w:rPr>
        <w:t>采购人在验收合格后</w:t>
      </w:r>
      <w:r>
        <w:rPr>
          <w:rFonts w:hint="eastAsia" w:ascii="宋体" w:hAnsi="宋体" w:eastAsia="宋体" w:cs="仿宋_GB2312"/>
          <w:kern w:val="0"/>
          <w:szCs w:val="21"/>
        </w:rPr>
        <w:t xml:space="preserve">，将履约保证金予以无息退还供应商。 </w:t>
      </w:r>
    </w:p>
    <w:p>
      <w:pPr>
        <w:widowControl/>
        <w:overflowPunct w:val="0"/>
        <w:autoSpaceDE w:val="0"/>
        <w:autoSpaceDN w:val="0"/>
        <w:adjustRightInd w:val="0"/>
        <w:spacing w:after="0" w:line="360" w:lineRule="auto"/>
        <w:jc w:val="left"/>
        <w:rPr>
          <w:rFonts w:hint="eastAsia" w:ascii="宋体" w:hAnsi="宋体" w:eastAsia="宋体" w:cs="黑体"/>
          <w:b/>
          <w:bCs/>
          <w:kern w:val="0"/>
          <w:szCs w:val="21"/>
        </w:rPr>
      </w:pPr>
      <w:r>
        <w:rPr>
          <w:rFonts w:hint="eastAsia" w:ascii="宋体" w:hAnsi="宋体" w:eastAsia="宋体" w:cs="黑体"/>
          <w:b/>
          <w:bCs/>
          <w:kern w:val="0"/>
          <w:szCs w:val="21"/>
        </w:rPr>
        <w:t>十一、违约责任</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如供应商未能按要求履行合同，违反相关规定，发生以下情形之一，经调查属实的，扣除全部履约保证金：</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1.未按采购人计划的时间供货；</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2.未按要求随货提供相关票证；</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3.货物或提供的服务不符合招标文件、投标文件或本合同规定的。</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4.货物质量验收不合格，出现假冒伪劣、以次充好的产品；</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5.配送的货物未按采购人要求包装、分类或指定地点卸货；</w:t>
      </w:r>
    </w:p>
    <w:p>
      <w:pPr>
        <w:spacing w:after="0" w:line="360" w:lineRule="auto"/>
        <w:jc w:val="left"/>
        <w:rPr>
          <w:rFonts w:hint="eastAsia" w:ascii="宋体" w:hAnsi="宋体" w:eastAsia="宋体" w:cs="黑体"/>
          <w:b/>
          <w:bCs/>
          <w:szCs w:val="21"/>
        </w:rPr>
      </w:pPr>
      <w:r>
        <w:rPr>
          <w:rFonts w:hint="eastAsia" w:ascii="宋体" w:hAnsi="宋体" w:eastAsia="宋体" w:cs="黑体"/>
          <w:b/>
          <w:bCs/>
          <w:szCs w:val="21"/>
        </w:rPr>
        <w:t>十二、异议的处理</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（一）采购人有权拒收不符合质量标准的货物。供应商对于所提供不符要求的货物与服务负有责任，供应商负担由此发生的一切损失和费用，包括银行利息、运输和保险费、检验费、仓储和装卸费等必要的费用。</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二）如果在采购人发出索赔通知后10个自然日内，供应商未作答复，上述索赔应视为已被供应商接受。如供应商未能在收到索赔通知后10天内或征得采购人同意的延长期内，按照采购人选择的方法解决索赔事宜，采购人将有权从货款或从供应商开具的履约保证金中扣回索赔金额，同时保留进一步要求索赔的权力。</w:t>
      </w:r>
    </w:p>
    <w:p>
      <w:pPr>
        <w:widowControl/>
        <w:overflowPunct w:val="0"/>
        <w:autoSpaceDE w:val="0"/>
        <w:autoSpaceDN w:val="0"/>
        <w:adjustRightInd w:val="0"/>
        <w:spacing w:after="0" w:line="360" w:lineRule="auto"/>
        <w:jc w:val="left"/>
        <w:rPr>
          <w:rFonts w:hint="eastAsia" w:ascii="宋体" w:hAnsi="宋体" w:eastAsia="宋体" w:cs="仿宋_GB2312"/>
          <w:kern w:val="0"/>
          <w:szCs w:val="21"/>
        </w:rPr>
      </w:pPr>
      <w:r>
        <w:rPr>
          <w:rFonts w:hint="eastAsia" w:ascii="宋体" w:hAnsi="宋体" w:eastAsia="宋体" w:cs="仿宋_GB2312"/>
          <w:kern w:val="0"/>
          <w:szCs w:val="21"/>
        </w:rPr>
        <w:t>如果供应商提供货物存在严重质量瑕疵，或其他质量问题而供应商未能在约定时间内维修或更换的，采购人有权要求供应商退回所涉货物全部款项。</w:t>
      </w:r>
    </w:p>
    <w:p>
      <w:pPr>
        <w:widowControl/>
        <w:overflowPunct w:val="0"/>
        <w:autoSpaceDE w:val="0"/>
        <w:autoSpaceDN w:val="0"/>
        <w:adjustRightInd w:val="0"/>
        <w:spacing w:after="0" w:line="360" w:lineRule="auto"/>
        <w:jc w:val="left"/>
        <w:rPr>
          <w:rFonts w:hint="eastAsia" w:ascii="宋体" w:hAnsi="宋体" w:eastAsia="宋体"/>
          <w:b/>
          <w:bCs/>
          <w:kern w:val="44"/>
          <w:sz w:val="32"/>
          <w:szCs w:val="32"/>
          <w:lang w:eastAsia="zh-CN"/>
        </w:rPr>
        <w:sectPr>
          <w:headerReference r:id="rId3" w:type="default"/>
          <w:pgSz w:w="11906" w:h="16838"/>
          <w:pgMar w:top="1440" w:right="1800" w:bottom="1440" w:left="1800" w:header="851" w:footer="992" w:gutter="0"/>
          <w:cols w:space="425" w:num="1"/>
          <w:docGrid w:type="lines" w:linePitch="312" w:charSpace="0"/>
        </w:sectPr>
      </w:pPr>
      <w:r>
        <w:rPr>
          <w:rFonts w:hint="eastAsia" w:ascii="宋体" w:hAnsi="宋体" w:eastAsia="宋体" w:cs="仿宋_GB2312"/>
          <w:kern w:val="0"/>
          <w:szCs w:val="21"/>
        </w:rPr>
        <w:t>（三）本合同发生争议时，由双方协商解决。协商不成时可以向采购人所在地人民法院提起诉讼（在诉讼期间，除有争议部分的事项外，项目其他部分仍应继续履行</w:t>
      </w:r>
      <w:bookmarkEnd w:id="3"/>
      <w:r>
        <w:rPr>
          <w:rFonts w:hint="eastAsia" w:ascii="宋体" w:hAnsi="宋体" w:eastAsia="宋体" w:cs="仿宋_GB2312"/>
          <w:kern w:val="0"/>
          <w:szCs w:val="21"/>
          <w:lang w:eastAsia="zh-CN"/>
        </w:rPr>
        <w:t>。</w:t>
      </w:r>
      <w:bookmarkStart w:id="4" w:name="_GoBack"/>
      <w:bookmarkEnd w:id="4"/>
    </w:p>
    <w:p>
      <w:pPr>
        <w:wordWrap w:val="0"/>
        <w:jc w:val="both"/>
        <w:rPr>
          <w:rFonts w:hint="eastAsia" w:ascii="宋体" w:hAnsi="宋体" w:cs="宋体"/>
          <w:spacing w:val="4"/>
          <w:szCs w:val="21"/>
          <w:u w:val="singl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Arial,Bold">
    <w:altName w:val="Arial"/>
    <w:panose1 w:val="00000000000000000000"/>
    <w:charset w:val="00"/>
    <w:family w:val="swiss"/>
    <w:pitch w:val="default"/>
    <w:sig w:usb0="00000000" w:usb1="00000000" w:usb2="00000000" w:usb3="00000000" w:csb0="00000001"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0000010"/>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567"/>
        </w:tabs>
        <w:ind w:left="567" w:hanging="567"/>
      </w:pPr>
      <w:rPr>
        <w:rFonts w:hint="default" w:ascii="宋体" w:hAnsi="宋体" w:eastAsia="宋体" w:cs="Times New Roman"/>
        <w:b w:val="0"/>
        <w:dstrike w:val="0"/>
      </w:rPr>
    </w:lvl>
    <w:lvl w:ilvl="2" w:tentative="0">
      <w:start w:val="1"/>
      <w:numFmt w:val="decimal"/>
      <w:lvlText w:val="%1.%2.%3"/>
      <w:lvlJc w:val="left"/>
      <w:pPr>
        <w:tabs>
          <w:tab w:val="left" w:pos="1703"/>
        </w:tabs>
        <w:ind w:left="1703" w:hanging="851"/>
      </w:pPr>
      <w:rPr>
        <w:rFonts w:hint="default" w:ascii="宋体" w:hAnsi="宋体" w:eastAsia="宋体" w:cs="Times New Roman"/>
        <w:b w:val="0"/>
        <w:color w:val="auto"/>
        <w:sz w:val="21"/>
        <w:szCs w:val="21"/>
      </w:rPr>
    </w:lvl>
    <w:lvl w:ilvl="3" w:tentative="0">
      <w:start w:val="1"/>
      <w:numFmt w:val="decimal"/>
      <w:pStyle w:val="30"/>
      <w:lvlText w:val="%1.%2.%3.%4"/>
      <w:lvlJc w:val="left"/>
      <w:pPr>
        <w:tabs>
          <w:tab w:val="left" w:pos="851"/>
        </w:tabs>
        <w:ind w:left="851" w:hanging="851"/>
      </w:pPr>
      <w:rPr>
        <w:rFonts w:hint="eastAsia"/>
        <w:dstrike w:val="0"/>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39E529C8"/>
    <w:multiLevelType w:val="singleLevel"/>
    <w:tmpl w:val="39E529C8"/>
    <w:lvl w:ilvl="0" w:tentative="0">
      <w:start w:val="1"/>
      <w:numFmt w:val="chineseCounting"/>
      <w:suff w:val="nothing"/>
      <w:lvlText w:val="（%1）"/>
      <w:lvlJc w:val="left"/>
      <w:pPr>
        <w:ind w:left="0" w:firstLine="0"/>
      </w:pPr>
    </w:lvl>
  </w:abstractNum>
  <w:abstractNum w:abstractNumId="2">
    <w:nsid w:val="63660966"/>
    <w:multiLevelType w:val="multilevel"/>
    <w:tmpl w:val="63660966"/>
    <w:lvl w:ilvl="0" w:tentative="0">
      <w:start w:val="1"/>
      <w:numFmt w:val="chineseCountingThousand"/>
      <w:suff w:val="space"/>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64875E39"/>
    <w:multiLevelType w:val="multilevel"/>
    <w:tmpl w:val="64875E39"/>
    <w:lvl w:ilvl="0" w:tentative="0">
      <w:start w:val="1"/>
      <w:numFmt w:val="decimal"/>
      <w:suff w:val="nothing"/>
      <w:lvlText w:val="%1."/>
      <w:lvlJc w:val="left"/>
      <w:pPr>
        <w:ind w:left="440" w:hanging="440"/>
      </w:pPr>
      <w:rPr>
        <w:rFonts w:hint="default" w:ascii="宋体" w:hAnsi="宋体" w:eastAsia="宋体" w:cs="宋体"/>
        <w:sz w:val="21"/>
        <w:szCs w:val="21"/>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2"/>
  </w:num>
  <w:num w:numId="3">
    <w:abstractNumId w:val="3"/>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hiN2YzMzg4ZTZhY2E0MTU4ZTAxMjZhNmY0YzAyNGUifQ=="/>
  </w:docVars>
  <w:rsids>
    <w:rsidRoot w:val="00603670"/>
    <w:rsid w:val="000020CF"/>
    <w:rsid w:val="0000298A"/>
    <w:rsid w:val="0000315D"/>
    <w:rsid w:val="00007461"/>
    <w:rsid w:val="00011A82"/>
    <w:rsid w:val="000152F2"/>
    <w:rsid w:val="000163AB"/>
    <w:rsid w:val="000249F4"/>
    <w:rsid w:val="00027036"/>
    <w:rsid w:val="00036D37"/>
    <w:rsid w:val="00042B6B"/>
    <w:rsid w:val="000431C9"/>
    <w:rsid w:val="00044AF6"/>
    <w:rsid w:val="00045E6F"/>
    <w:rsid w:val="00045EE8"/>
    <w:rsid w:val="00045EE9"/>
    <w:rsid w:val="00050534"/>
    <w:rsid w:val="00051B4A"/>
    <w:rsid w:val="00053978"/>
    <w:rsid w:val="0005430B"/>
    <w:rsid w:val="000565F1"/>
    <w:rsid w:val="00062C33"/>
    <w:rsid w:val="0006472A"/>
    <w:rsid w:val="00065977"/>
    <w:rsid w:val="00065D5D"/>
    <w:rsid w:val="00072D57"/>
    <w:rsid w:val="000749D9"/>
    <w:rsid w:val="00075391"/>
    <w:rsid w:val="0007723A"/>
    <w:rsid w:val="00082638"/>
    <w:rsid w:val="00082CDE"/>
    <w:rsid w:val="000833B2"/>
    <w:rsid w:val="00083BE6"/>
    <w:rsid w:val="00085B19"/>
    <w:rsid w:val="00086771"/>
    <w:rsid w:val="00090D29"/>
    <w:rsid w:val="00090E66"/>
    <w:rsid w:val="00091FA5"/>
    <w:rsid w:val="000A1706"/>
    <w:rsid w:val="000A6C55"/>
    <w:rsid w:val="000B040C"/>
    <w:rsid w:val="000B3F59"/>
    <w:rsid w:val="000B6C3C"/>
    <w:rsid w:val="000C0C09"/>
    <w:rsid w:val="000C306A"/>
    <w:rsid w:val="000C5ABD"/>
    <w:rsid w:val="000C7310"/>
    <w:rsid w:val="000D0AA6"/>
    <w:rsid w:val="000E1176"/>
    <w:rsid w:val="000E1199"/>
    <w:rsid w:val="000E751E"/>
    <w:rsid w:val="000F1249"/>
    <w:rsid w:val="000F2F37"/>
    <w:rsid w:val="000F423D"/>
    <w:rsid w:val="000F6EC2"/>
    <w:rsid w:val="000F764A"/>
    <w:rsid w:val="00102FEB"/>
    <w:rsid w:val="00107E2D"/>
    <w:rsid w:val="001124AB"/>
    <w:rsid w:val="001151F6"/>
    <w:rsid w:val="0011556A"/>
    <w:rsid w:val="00116EDF"/>
    <w:rsid w:val="00122892"/>
    <w:rsid w:val="00123BEA"/>
    <w:rsid w:val="001304CF"/>
    <w:rsid w:val="0013093A"/>
    <w:rsid w:val="00140AD2"/>
    <w:rsid w:val="001546E9"/>
    <w:rsid w:val="0016171E"/>
    <w:rsid w:val="001640A4"/>
    <w:rsid w:val="00166777"/>
    <w:rsid w:val="0017009A"/>
    <w:rsid w:val="00170178"/>
    <w:rsid w:val="00175ECB"/>
    <w:rsid w:val="00182BE9"/>
    <w:rsid w:val="001863E0"/>
    <w:rsid w:val="0018782B"/>
    <w:rsid w:val="001900F3"/>
    <w:rsid w:val="00194012"/>
    <w:rsid w:val="00195B4F"/>
    <w:rsid w:val="001A0DDF"/>
    <w:rsid w:val="001A2553"/>
    <w:rsid w:val="001A2807"/>
    <w:rsid w:val="001A57B9"/>
    <w:rsid w:val="001A769F"/>
    <w:rsid w:val="001B0A70"/>
    <w:rsid w:val="001B21D4"/>
    <w:rsid w:val="001B49BA"/>
    <w:rsid w:val="001B5958"/>
    <w:rsid w:val="001B74DB"/>
    <w:rsid w:val="001C071E"/>
    <w:rsid w:val="001C3D61"/>
    <w:rsid w:val="001C43C7"/>
    <w:rsid w:val="001C5B07"/>
    <w:rsid w:val="001C6A94"/>
    <w:rsid w:val="001C6BE3"/>
    <w:rsid w:val="001C7312"/>
    <w:rsid w:val="001C7588"/>
    <w:rsid w:val="001D1026"/>
    <w:rsid w:val="001D33E6"/>
    <w:rsid w:val="001D6B85"/>
    <w:rsid w:val="001E48AC"/>
    <w:rsid w:val="001E49A6"/>
    <w:rsid w:val="001E4F9F"/>
    <w:rsid w:val="001E4FFB"/>
    <w:rsid w:val="001E5C33"/>
    <w:rsid w:val="001F3F8C"/>
    <w:rsid w:val="001F41F4"/>
    <w:rsid w:val="001F7A56"/>
    <w:rsid w:val="002012C0"/>
    <w:rsid w:val="00204167"/>
    <w:rsid w:val="002056C6"/>
    <w:rsid w:val="002071AD"/>
    <w:rsid w:val="0021266A"/>
    <w:rsid w:val="00221AE7"/>
    <w:rsid w:val="0022228B"/>
    <w:rsid w:val="00222E5F"/>
    <w:rsid w:val="00223305"/>
    <w:rsid w:val="00227513"/>
    <w:rsid w:val="0023102F"/>
    <w:rsid w:val="002312DD"/>
    <w:rsid w:val="002366A5"/>
    <w:rsid w:val="002379C7"/>
    <w:rsid w:val="0024390D"/>
    <w:rsid w:val="00246B0F"/>
    <w:rsid w:val="0024794A"/>
    <w:rsid w:val="00251790"/>
    <w:rsid w:val="00253352"/>
    <w:rsid w:val="00262DAA"/>
    <w:rsid w:val="00263207"/>
    <w:rsid w:val="0026399A"/>
    <w:rsid w:val="002665E2"/>
    <w:rsid w:val="002674A4"/>
    <w:rsid w:val="00270E13"/>
    <w:rsid w:val="00273CB4"/>
    <w:rsid w:val="00274FF8"/>
    <w:rsid w:val="002801E5"/>
    <w:rsid w:val="00281081"/>
    <w:rsid w:val="0028253C"/>
    <w:rsid w:val="00283853"/>
    <w:rsid w:val="00283A1B"/>
    <w:rsid w:val="00287DED"/>
    <w:rsid w:val="002920CA"/>
    <w:rsid w:val="00294F50"/>
    <w:rsid w:val="00295E64"/>
    <w:rsid w:val="00296BFA"/>
    <w:rsid w:val="002A1D82"/>
    <w:rsid w:val="002A1FE5"/>
    <w:rsid w:val="002A50F6"/>
    <w:rsid w:val="002B012D"/>
    <w:rsid w:val="002B2992"/>
    <w:rsid w:val="002B4DF8"/>
    <w:rsid w:val="002B6773"/>
    <w:rsid w:val="002B6EEB"/>
    <w:rsid w:val="002C2333"/>
    <w:rsid w:val="002C7CC8"/>
    <w:rsid w:val="002D315C"/>
    <w:rsid w:val="002D4EBD"/>
    <w:rsid w:val="002D5B83"/>
    <w:rsid w:val="002E0263"/>
    <w:rsid w:val="002E123A"/>
    <w:rsid w:val="002E35D1"/>
    <w:rsid w:val="002E52BA"/>
    <w:rsid w:val="002E61D3"/>
    <w:rsid w:val="002E66A9"/>
    <w:rsid w:val="002F2670"/>
    <w:rsid w:val="002F352E"/>
    <w:rsid w:val="002F4A33"/>
    <w:rsid w:val="002F4C6B"/>
    <w:rsid w:val="002F5E67"/>
    <w:rsid w:val="0030370E"/>
    <w:rsid w:val="003061AA"/>
    <w:rsid w:val="00307781"/>
    <w:rsid w:val="00315F8B"/>
    <w:rsid w:val="00316B60"/>
    <w:rsid w:val="00317AA5"/>
    <w:rsid w:val="00326EC2"/>
    <w:rsid w:val="00327C22"/>
    <w:rsid w:val="00332AF3"/>
    <w:rsid w:val="0033515D"/>
    <w:rsid w:val="0033683C"/>
    <w:rsid w:val="00341C0B"/>
    <w:rsid w:val="00342E19"/>
    <w:rsid w:val="003443BC"/>
    <w:rsid w:val="0034746F"/>
    <w:rsid w:val="00355F34"/>
    <w:rsid w:val="003634F8"/>
    <w:rsid w:val="003657F8"/>
    <w:rsid w:val="00366797"/>
    <w:rsid w:val="00372ADF"/>
    <w:rsid w:val="003755F3"/>
    <w:rsid w:val="003818F2"/>
    <w:rsid w:val="0038336A"/>
    <w:rsid w:val="00383905"/>
    <w:rsid w:val="0038428D"/>
    <w:rsid w:val="00390ACD"/>
    <w:rsid w:val="00392847"/>
    <w:rsid w:val="00392EBE"/>
    <w:rsid w:val="00393D24"/>
    <w:rsid w:val="00394537"/>
    <w:rsid w:val="00395A64"/>
    <w:rsid w:val="00395C9C"/>
    <w:rsid w:val="003964CC"/>
    <w:rsid w:val="003A12B0"/>
    <w:rsid w:val="003A26B4"/>
    <w:rsid w:val="003A4D70"/>
    <w:rsid w:val="003A6676"/>
    <w:rsid w:val="003B0A20"/>
    <w:rsid w:val="003B412F"/>
    <w:rsid w:val="003B48C0"/>
    <w:rsid w:val="003C04F8"/>
    <w:rsid w:val="003C3CB7"/>
    <w:rsid w:val="003C419C"/>
    <w:rsid w:val="003C4239"/>
    <w:rsid w:val="003C6FFD"/>
    <w:rsid w:val="003C73B0"/>
    <w:rsid w:val="003D2DE8"/>
    <w:rsid w:val="003D3C42"/>
    <w:rsid w:val="003D4410"/>
    <w:rsid w:val="003E211B"/>
    <w:rsid w:val="003E2184"/>
    <w:rsid w:val="003E273C"/>
    <w:rsid w:val="003E48DC"/>
    <w:rsid w:val="003E58A1"/>
    <w:rsid w:val="003F0BCA"/>
    <w:rsid w:val="003F38D5"/>
    <w:rsid w:val="00400161"/>
    <w:rsid w:val="00403AB2"/>
    <w:rsid w:val="00405E8A"/>
    <w:rsid w:val="00406BA6"/>
    <w:rsid w:val="00412749"/>
    <w:rsid w:val="004211A3"/>
    <w:rsid w:val="0042505F"/>
    <w:rsid w:val="00425F66"/>
    <w:rsid w:val="0042690C"/>
    <w:rsid w:val="00426BC1"/>
    <w:rsid w:val="00430B6E"/>
    <w:rsid w:val="00431DBE"/>
    <w:rsid w:val="00432278"/>
    <w:rsid w:val="004332A4"/>
    <w:rsid w:val="00433B9F"/>
    <w:rsid w:val="0043720D"/>
    <w:rsid w:val="004431CF"/>
    <w:rsid w:val="00443CAE"/>
    <w:rsid w:val="00443D79"/>
    <w:rsid w:val="00446DCD"/>
    <w:rsid w:val="00447C9B"/>
    <w:rsid w:val="00454A14"/>
    <w:rsid w:val="00455287"/>
    <w:rsid w:val="0045760A"/>
    <w:rsid w:val="004610D7"/>
    <w:rsid w:val="004613B9"/>
    <w:rsid w:val="0046350E"/>
    <w:rsid w:val="00465833"/>
    <w:rsid w:val="00466101"/>
    <w:rsid w:val="00467328"/>
    <w:rsid w:val="0047081D"/>
    <w:rsid w:val="004733AF"/>
    <w:rsid w:val="004765F8"/>
    <w:rsid w:val="00476745"/>
    <w:rsid w:val="004775F0"/>
    <w:rsid w:val="00481C63"/>
    <w:rsid w:val="004918DF"/>
    <w:rsid w:val="00492B35"/>
    <w:rsid w:val="00493336"/>
    <w:rsid w:val="00494623"/>
    <w:rsid w:val="00494A88"/>
    <w:rsid w:val="00496883"/>
    <w:rsid w:val="00497F6E"/>
    <w:rsid w:val="004A36A8"/>
    <w:rsid w:val="004A4C83"/>
    <w:rsid w:val="004B3EE5"/>
    <w:rsid w:val="004B4136"/>
    <w:rsid w:val="004B551A"/>
    <w:rsid w:val="004B57DA"/>
    <w:rsid w:val="004B7182"/>
    <w:rsid w:val="004B7567"/>
    <w:rsid w:val="004C32E3"/>
    <w:rsid w:val="004C3937"/>
    <w:rsid w:val="004C688F"/>
    <w:rsid w:val="004C701D"/>
    <w:rsid w:val="004C7CE6"/>
    <w:rsid w:val="004D2165"/>
    <w:rsid w:val="004D2A3E"/>
    <w:rsid w:val="004D491B"/>
    <w:rsid w:val="004D6C1E"/>
    <w:rsid w:val="004D6D34"/>
    <w:rsid w:val="004D7314"/>
    <w:rsid w:val="004E2B0A"/>
    <w:rsid w:val="004E3081"/>
    <w:rsid w:val="004E3790"/>
    <w:rsid w:val="004E38D7"/>
    <w:rsid w:val="004F1479"/>
    <w:rsid w:val="004F3736"/>
    <w:rsid w:val="005007B8"/>
    <w:rsid w:val="00501F2E"/>
    <w:rsid w:val="00504EEA"/>
    <w:rsid w:val="00505820"/>
    <w:rsid w:val="005136B9"/>
    <w:rsid w:val="0051519C"/>
    <w:rsid w:val="00521996"/>
    <w:rsid w:val="00522280"/>
    <w:rsid w:val="00524CA3"/>
    <w:rsid w:val="00525AB7"/>
    <w:rsid w:val="005316BD"/>
    <w:rsid w:val="00533B92"/>
    <w:rsid w:val="00534A4A"/>
    <w:rsid w:val="00534F6E"/>
    <w:rsid w:val="00535EEC"/>
    <w:rsid w:val="00542C97"/>
    <w:rsid w:val="0054312A"/>
    <w:rsid w:val="005456E9"/>
    <w:rsid w:val="00545A05"/>
    <w:rsid w:val="005462F7"/>
    <w:rsid w:val="00547EE8"/>
    <w:rsid w:val="005521A5"/>
    <w:rsid w:val="00553FEC"/>
    <w:rsid w:val="00555B34"/>
    <w:rsid w:val="00560066"/>
    <w:rsid w:val="005609B9"/>
    <w:rsid w:val="00564DEA"/>
    <w:rsid w:val="00565168"/>
    <w:rsid w:val="005656FE"/>
    <w:rsid w:val="005678E8"/>
    <w:rsid w:val="00574D3C"/>
    <w:rsid w:val="00575C2D"/>
    <w:rsid w:val="00577EFF"/>
    <w:rsid w:val="00585A83"/>
    <w:rsid w:val="00587D7B"/>
    <w:rsid w:val="00591BC0"/>
    <w:rsid w:val="00593C7A"/>
    <w:rsid w:val="005A0DBC"/>
    <w:rsid w:val="005A224E"/>
    <w:rsid w:val="005A41E9"/>
    <w:rsid w:val="005B1D70"/>
    <w:rsid w:val="005B1FBA"/>
    <w:rsid w:val="005B3711"/>
    <w:rsid w:val="005B561B"/>
    <w:rsid w:val="005C064C"/>
    <w:rsid w:val="005C3A40"/>
    <w:rsid w:val="005C71D5"/>
    <w:rsid w:val="005C723F"/>
    <w:rsid w:val="005D72B7"/>
    <w:rsid w:val="005D796C"/>
    <w:rsid w:val="005D7CB1"/>
    <w:rsid w:val="005E0E40"/>
    <w:rsid w:val="005E4015"/>
    <w:rsid w:val="005E6151"/>
    <w:rsid w:val="005E6693"/>
    <w:rsid w:val="005E748F"/>
    <w:rsid w:val="005F4B08"/>
    <w:rsid w:val="005F4F7A"/>
    <w:rsid w:val="005F5ACC"/>
    <w:rsid w:val="005F6D53"/>
    <w:rsid w:val="0060233D"/>
    <w:rsid w:val="0060305F"/>
    <w:rsid w:val="00603670"/>
    <w:rsid w:val="006037D5"/>
    <w:rsid w:val="0060401D"/>
    <w:rsid w:val="00606B8E"/>
    <w:rsid w:val="00607C02"/>
    <w:rsid w:val="00612564"/>
    <w:rsid w:val="00616532"/>
    <w:rsid w:val="00616AE3"/>
    <w:rsid w:val="00617682"/>
    <w:rsid w:val="00620F2C"/>
    <w:rsid w:val="0062140F"/>
    <w:rsid w:val="006215D6"/>
    <w:rsid w:val="00622C1E"/>
    <w:rsid w:val="00623B7D"/>
    <w:rsid w:val="00627E81"/>
    <w:rsid w:val="00627F1C"/>
    <w:rsid w:val="00636A0E"/>
    <w:rsid w:val="00637944"/>
    <w:rsid w:val="00640CBF"/>
    <w:rsid w:val="00641A0A"/>
    <w:rsid w:val="00642203"/>
    <w:rsid w:val="00643933"/>
    <w:rsid w:val="0064715C"/>
    <w:rsid w:val="00650D68"/>
    <w:rsid w:val="006572C6"/>
    <w:rsid w:val="0066018A"/>
    <w:rsid w:val="006617F8"/>
    <w:rsid w:val="006635B0"/>
    <w:rsid w:val="0066380A"/>
    <w:rsid w:val="00673379"/>
    <w:rsid w:val="006739CD"/>
    <w:rsid w:val="006779F7"/>
    <w:rsid w:val="00677F68"/>
    <w:rsid w:val="00680244"/>
    <w:rsid w:val="006817FD"/>
    <w:rsid w:val="00681DE7"/>
    <w:rsid w:val="00681F50"/>
    <w:rsid w:val="0069040A"/>
    <w:rsid w:val="006923B3"/>
    <w:rsid w:val="00694570"/>
    <w:rsid w:val="006A13C3"/>
    <w:rsid w:val="006A307C"/>
    <w:rsid w:val="006A3996"/>
    <w:rsid w:val="006A564E"/>
    <w:rsid w:val="006A6162"/>
    <w:rsid w:val="006A61C8"/>
    <w:rsid w:val="006B07B5"/>
    <w:rsid w:val="006B1BFB"/>
    <w:rsid w:val="006B6FBB"/>
    <w:rsid w:val="006B7487"/>
    <w:rsid w:val="006B764E"/>
    <w:rsid w:val="006C00E1"/>
    <w:rsid w:val="006C1447"/>
    <w:rsid w:val="006C2A62"/>
    <w:rsid w:val="006C518A"/>
    <w:rsid w:val="006C7D17"/>
    <w:rsid w:val="006D1FA1"/>
    <w:rsid w:val="006D213E"/>
    <w:rsid w:val="006D2D20"/>
    <w:rsid w:val="006D5A54"/>
    <w:rsid w:val="006D5C18"/>
    <w:rsid w:val="006D5FC6"/>
    <w:rsid w:val="006D797B"/>
    <w:rsid w:val="006D7E04"/>
    <w:rsid w:val="006E3138"/>
    <w:rsid w:val="006E49DB"/>
    <w:rsid w:val="006E7B4E"/>
    <w:rsid w:val="006F1FE9"/>
    <w:rsid w:val="006F3241"/>
    <w:rsid w:val="006F5227"/>
    <w:rsid w:val="006F69D6"/>
    <w:rsid w:val="006F7B6B"/>
    <w:rsid w:val="006F7EC6"/>
    <w:rsid w:val="00700C51"/>
    <w:rsid w:val="0070162B"/>
    <w:rsid w:val="00704006"/>
    <w:rsid w:val="00704031"/>
    <w:rsid w:val="007056A1"/>
    <w:rsid w:val="007059E9"/>
    <w:rsid w:val="00706333"/>
    <w:rsid w:val="00710707"/>
    <w:rsid w:val="0071097B"/>
    <w:rsid w:val="007128C2"/>
    <w:rsid w:val="00713BF5"/>
    <w:rsid w:val="00714312"/>
    <w:rsid w:val="00715D44"/>
    <w:rsid w:val="007173E8"/>
    <w:rsid w:val="00717FA5"/>
    <w:rsid w:val="00720B27"/>
    <w:rsid w:val="00720FDA"/>
    <w:rsid w:val="007214B0"/>
    <w:rsid w:val="00724E13"/>
    <w:rsid w:val="00726EDF"/>
    <w:rsid w:val="00731DAF"/>
    <w:rsid w:val="007342B9"/>
    <w:rsid w:val="00734BC1"/>
    <w:rsid w:val="00737340"/>
    <w:rsid w:val="00741354"/>
    <w:rsid w:val="007440B0"/>
    <w:rsid w:val="007470DA"/>
    <w:rsid w:val="00747901"/>
    <w:rsid w:val="00755AC2"/>
    <w:rsid w:val="00757092"/>
    <w:rsid w:val="007570CE"/>
    <w:rsid w:val="007636F2"/>
    <w:rsid w:val="00763794"/>
    <w:rsid w:val="00764AF4"/>
    <w:rsid w:val="00766BD6"/>
    <w:rsid w:val="00767AA7"/>
    <w:rsid w:val="007726C4"/>
    <w:rsid w:val="00772B71"/>
    <w:rsid w:val="00776A34"/>
    <w:rsid w:val="007774C8"/>
    <w:rsid w:val="00777753"/>
    <w:rsid w:val="00781957"/>
    <w:rsid w:val="00783B9B"/>
    <w:rsid w:val="00784A0D"/>
    <w:rsid w:val="00787097"/>
    <w:rsid w:val="00787C7D"/>
    <w:rsid w:val="00790782"/>
    <w:rsid w:val="007917E4"/>
    <w:rsid w:val="00791DEE"/>
    <w:rsid w:val="00792511"/>
    <w:rsid w:val="00795134"/>
    <w:rsid w:val="007A0ABB"/>
    <w:rsid w:val="007A2143"/>
    <w:rsid w:val="007A30C5"/>
    <w:rsid w:val="007A32AE"/>
    <w:rsid w:val="007A540E"/>
    <w:rsid w:val="007B05B8"/>
    <w:rsid w:val="007B6F97"/>
    <w:rsid w:val="007C50BD"/>
    <w:rsid w:val="007C5792"/>
    <w:rsid w:val="007C7750"/>
    <w:rsid w:val="007D4227"/>
    <w:rsid w:val="007D4AAB"/>
    <w:rsid w:val="007D5801"/>
    <w:rsid w:val="007D76AA"/>
    <w:rsid w:val="007E26FA"/>
    <w:rsid w:val="007E3EDE"/>
    <w:rsid w:val="007F26F4"/>
    <w:rsid w:val="007F3F07"/>
    <w:rsid w:val="007F6365"/>
    <w:rsid w:val="007F6B25"/>
    <w:rsid w:val="00800285"/>
    <w:rsid w:val="0080065E"/>
    <w:rsid w:val="0080213A"/>
    <w:rsid w:val="008034FC"/>
    <w:rsid w:val="00803518"/>
    <w:rsid w:val="008103E3"/>
    <w:rsid w:val="00811E08"/>
    <w:rsid w:val="00811F10"/>
    <w:rsid w:val="00812470"/>
    <w:rsid w:val="008124C1"/>
    <w:rsid w:val="008216B5"/>
    <w:rsid w:val="00821C50"/>
    <w:rsid w:val="00823636"/>
    <w:rsid w:val="00825FF0"/>
    <w:rsid w:val="00830919"/>
    <w:rsid w:val="008325D4"/>
    <w:rsid w:val="008331CC"/>
    <w:rsid w:val="00835579"/>
    <w:rsid w:val="00846094"/>
    <w:rsid w:val="00846472"/>
    <w:rsid w:val="00847407"/>
    <w:rsid w:val="0085104F"/>
    <w:rsid w:val="008537C7"/>
    <w:rsid w:val="00854BAC"/>
    <w:rsid w:val="008556E4"/>
    <w:rsid w:val="00856F2F"/>
    <w:rsid w:val="00857B7D"/>
    <w:rsid w:val="00857C22"/>
    <w:rsid w:val="008617C5"/>
    <w:rsid w:val="00867DBA"/>
    <w:rsid w:val="00873B3B"/>
    <w:rsid w:val="00873FA8"/>
    <w:rsid w:val="00875023"/>
    <w:rsid w:val="00881257"/>
    <w:rsid w:val="00882269"/>
    <w:rsid w:val="00882930"/>
    <w:rsid w:val="00887543"/>
    <w:rsid w:val="008960AC"/>
    <w:rsid w:val="008A4B06"/>
    <w:rsid w:val="008A5110"/>
    <w:rsid w:val="008A7093"/>
    <w:rsid w:val="008A75A4"/>
    <w:rsid w:val="008B4697"/>
    <w:rsid w:val="008B711D"/>
    <w:rsid w:val="008B7BAC"/>
    <w:rsid w:val="008B7C71"/>
    <w:rsid w:val="008C2AB1"/>
    <w:rsid w:val="008C3917"/>
    <w:rsid w:val="008C7245"/>
    <w:rsid w:val="008C7DAA"/>
    <w:rsid w:val="008D0861"/>
    <w:rsid w:val="008E3CD8"/>
    <w:rsid w:val="008E443B"/>
    <w:rsid w:val="008E49E5"/>
    <w:rsid w:val="008E4C78"/>
    <w:rsid w:val="008E5DA8"/>
    <w:rsid w:val="008E6EDC"/>
    <w:rsid w:val="008F0DC1"/>
    <w:rsid w:val="008F3BD8"/>
    <w:rsid w:val="008F3E0F"/>
    <w:rsid w:val="008F3F79"/>
    <w:rsid w:val="008F480D"/>
    <w:rsid w:val="009000D5"/>
    <w:rsid w:val="00903CD9"/>
    <w:rsid w:val="00904D13"/>
    <w:rsid w:val="0091134D"/>
    <w:rsid w:val="00912525"/>
    <w:rsid w:val="00915FFD"/>
    <w:rsid w:val="009177F7"/>
    <w:rsid w:val="009227C3"/>
    <w:rsid w:val="00923734"/>
    <w:rsid w:val="0092421F"/>
    <w:rsid w:val="009253A5"/>
    <w:rsid w:val="00927B6C"/>
    <w:rsid w:val="0093127A"/>
    <w:rsid w:val="009324B5"/>
    <w:rsid w:val="00932E40"/>
    <w:rsid w:val="00937F4D"/>
    <w:rsid w:val="009428E5"/>
    <w:rsid w:val="00945FC8"/>
    <w:rsid w:val="0094675A"/>
    <w:rsid w:val="009500CB"/>
    <w:rsid w:val="00950D89"/>
    <w:rsid w:val="00955B58"/>
    <w:rsid w:val="00960B47"/>
    <w:rsid w:val="00965DCA"/>
    <w:rsid w:val="00966193"/>
    <w:rsid w:val="009666D4"/>
    <w:rsid w:val="00977403"/>
    <w:rsid w:val="009819F8"/>
    <w:rsid w:val="00981FCF"/>
    <w:rsid w:val="0098286C"/>
    <w:rsid w:val="00984889"/>
    <w:rsid w:val="00987705"/>
    <w:rsid w:val="009877F1"/>
    <w:rsid w:val="00990253"/>
    <w:rsid w:val="00990852"/>
    <w:rsid w:val="00991F41"/>
    <w:rsid w:val="009920A4"/>
    <w:rsid w:val="00993726"/>
    <w:rsid w:val="00995A1C"/>
    <w:rsid w:val="009A21C0"/>
    <w:rsid w:val="009A4BF3"/>
    <w:rsid w:val="009B10C1"/>
    <w:rsid w:val="009B2627"/>
    <w:rsid w:val="009B3F99"/>
    <w:rsid w:val="009B4D41"/>
    <w:rsid w:val="009B4FBE"/>
    <w:rsid w:val="009B675D"/>
    <w:rsid w:val="009B7843"/>
    <w:rsid w:val="009C2151"/>
    <w:rsid w:val="009C2C5E"/>
    <w:rsid w:val="009C2D78"/>
    <w:rsid w:val="009C5098"/>
    <w:rsid w:val="009D0859"/>
    <w:rsid w:val="009D0B7F"/>
    <w:rsid w:val="009D4FC9"/>
    <w:rsid w:val="009E5075"/>
    <w:rsid w:val="009E5F7B"/>
    <w:rsid w:val="009F184E"/>
    <w:rsid w:val="009F22AA"/>
    <w:rsid w:val="00A042E3"/>
    <w:rsid w:val="00A0472A"/>
    <w:rsid w:val="00A0553F"/>
    <w:rsid w:val="00A100BA"/>
    <w:rsid w:val="00A1114F"/>
    <w:rsid w:val="00A120CA"/>
    <w:rsid w:val="00A13934"/>
    <w:rsid w:val="00A14E40"/>
    <w:rsid w:val="00A16824"/>
    <w:rsid w:val="00A16C1A"/>
    <w:rsid w:val="00A202CE"/>
    <w:rsid w:val="00A212C1"/>
    <w:rsid w:val="00A2202B"/>
    <w:rsid w:val="00A24939"/>
    <w:rsid w:val="00A26067"/>
    <w:rsid w:val="00A275B9"/>
    <w:rsid w:val="00A30C64"/>
    <w:rsid w:val="00A35A63"/>
    <w:rsid w:val="00A40C48"/>
    <w:rsid w:val="00A419A2"/>
    <w:rsid w:val="00A43CE5"/>
    <w:rsid w:val="00A45475"/>
    <w:rsid w:val="00A45A6D"/>
    <w:rsid w:val="00A5117E"/>
    <w:rsid w:val="00A51469"/>
    <w:rsid w:val="00A52E7B"/>
    <w:rsid w:val="00A55509"/>
    <w:rsid w:val="00A56DC9"/>
    <w:rsid w:val="00A57E89"/>
    <w:rsid w:val="00A626DA"/>
    <w:rsid w:val="00A65321"/>
    <w:rsid w:val="00A6632C"/>
    <w:rsid w:val="00A7438E"/>
    <w:rsid w:val="00A80B37"/>
    <w:rsid w:val="00A80FB2"/>
    <w:rsid w:val="00A82740"/>
    <w:rsid w:val="00A8435B"/>
    <w:rsid w:val="00A84A1B"/>
    <w:rsid w:val="00A86279"/>
    <w:rsid w:val="00A87EE3"/>
    <w:rsid w:val="00A90E89"/>
    <w:rsid w:val="00A91B01"/>
    <w:rsid w:val="00A91EB8"/>
    <w:rsid w:val="00A9334B"/>
    <w:rsid w:val="00A93460"/>
    <w:rsid w:val="00AA0C20"/>
    <w:rsid w:val="00AA21EC"/>
    <w:rsid w:val="00AA42F7"/>
    <w:rsid w:val="00AB134E"/>
    <w:rsid w:val="00AB6105"/>
    <w:rsid w:val="00AB6F94"/>
    <w:rsid w:val="00AC2AF9"/>
    <w:rsid w:val="00AC428A"/>
    <w:rsid w:val="00AC4DE9"/>
    <w:rsid w:val="00AD08E8"/>
    <w:rsid w:val="00AD1A1A"/>
    <w:rsid w:val="00AD3C05"/>
    <w:rsid w:val="00AD5991"/>
    <w:rsid w:val="00AD6219"/>
    <w:rsid w:val="00AE270A"/>
    <w:rsid w:val="00AE2F48"/>
    <w:rsid w:val="00AF1A70"/>
    <w:rsid w:val="00AF1D6C"/>
    <w:rsid w:val="00AF4372"/>
    <w:rsid w:val="00AF4C53"/>
    <w:rsid w:val="00AF5970"/>
    <w:rsid w:val="00AF5C46"/>
    <w:rsid w:val="00AF6850"/>
    <w:rsid w:val="00B0099A"/>
    <w:rsid w:val="00B012D2"/>
    <w:rsid w:val="00B02B14"/>
    <w:rsid w:val="00B06AE0"/>
    <w:rsid w:val="00B16927"/>
    <w:rsid w:val="00B17C2F"/>
    <w:rsid w:val="00B21A74"/>
    <w:rsid w:val="00B2298D"/>
    <w:rsid w:val="00B238D6"/>
    <w:rsid w:val="00B23B84"/>
    <w:rsid w:val="00B24469"/>
    <w:rsid w:val="00B2689F"/>
    <w:rsid w:val="00B314CC"/>
    <w:rsid w:val="00B32A5B"/>
    <w:rsid w:val="00B40D3D"/>
    <w:rsid w:val="00B41DB2"/>
    <w:rsid w:val="00B4687C"/>
    <w:rsid w:val="00B52043"/>
    <w:rsid w:val="00B52930"/>
    <w:rsid w:val="00B5406D"/>
    <w:rsid w:val="00B56C99"/>
    <w:rsid w:val="00B617FE"/>
    <w:rsid w:val="00B61F57"/>
    <w:rsid w:val="00B64061"/>
    <w:rsid w:val="00B67C6C"/>
    <w:rsid w:val="00B71359"/>
    <w:rsid w:val="00B772EA"/>
    <w:rsid w:val="00B77D0F"/>
    <w:rsid w:val="00B838B3"/>
    <w:rsid w:val="00B85FC9"/>
    <w:rsid w:val="00B86452"/>
    <w:rsid w:val="00B879A2"/>
    <w:rsid w:val="00B902E6"/>
    <w:rsid w:val="00B9732A"/>
    <w:rsid w:val="00B976F6"/>
    <w:rsid w:val="00BA1245"/>
    <w:rsid w:val="00BA2DFE"/>
    <w:rsid w:val="00BA3713"/>
    <w:rsid w:val="00BA4DC3"/>
    <w:rsid w:val="00BA578C"/>
    <w:rsid w:val="00BA5D03"/>
    <w:rsid w:val="00BA6241"/>
    <w:rsid w:val="00BB1157"/>
    <w:rsid w:val="00BB1355"/>
    <w:rsid w:val="00BB13C9"/>
    <w:rsid w:val="00BB14F1"/>
    <w:rsid w:val="00BB4522"/>
    <w:rsid w:val="00BB45E3"/>
    <w:rsid w:val="00BB566D"/>
    <w:rsid w:val="00BB67EB"/>
    <w:rsid w:val="00BC00DE"/>
    <w:rsid w:val="00BC4505"/>
    <w:rsid w:val="00BC46DD"/>
    <w:rsid w:val="00BC697C"/>
    <w:rsid w:val="00BD2DF2"/>
    <w:rsid w:val="00BD3301"/>
    <w:rsid w:val="00BD4CD9"/>
    <w:rsid w:val="00BE0068"/>
    <w:rsid w:val="00BE0D29"/>
    <w:rsid w:val="00BE2C2D"/>
    <w:rsid w:val="00BE4CAE"/>
    <w:rsid w:val="00BF04FE"/>
    <w:rsid w:val="00BF0779"/>
    <w:rsid w:val="00BF2D47"/>
    <w:rsid w:val="00BF4606"/>
    <w:rsid w:val="00BF568B"/>
    <w:rsid w:val="00C00074"/>
    <w:rsid w:val="00C00098"/>
    <w:rsid w:val="00C003B0"/>
    <w:rsid w:val="00C02529"/>
    <w:rsid w:val="00C02598"/>
    <w:rsid w:val="00C13D89"/>
    <w:rsid w:val="00C2026A"/>
    <w:rsid w:val="00C21B82"/>
    <w:rsid w:val="00C22396"/>
    <w:rsid w:val="00C26CFB"/>
    <w:rsid w:val="00C31252"/>
    <w:rsid w:val="00C3164B"/>
    <w:rsid w:val="00C368FE"/>
    <w:rsid w:val="00C37543"/>
    <w:rsid w:val="00C37DB0"/>
    <w:rsid w:val="00C40186"/>
    <w:rsid w:val="00C40805"/>
    <w:rsid w:val="00C44382"/>
    <w:rsid w:val="00C46FC3"/>
    <w:rsid w:val="00C476C2"/>
    <w:rsid w:val="00C56A1C"/>
    <w:rsid w:val="00C611C9"/>
    <w:rsid w:val="00C65789"/>
    <w:rsid w:val="00C65F08"/>
    <w:rsid w:val="00C6658D"/>
    <w:rsid w:val="00C67B22"/>
    <w:rsid w:val="00C72934"/>
    <w:rsid w:val="00C7531E"/>
    <w:rsid w:val="00C776A4"/>
    <w:rsid w:val="00C77F3B"/>
    <w:rsid w:val="00C811F8"/>
    <w:rsid w:val="00C821FC"/>
    <w:rsid w:val="00C83E6E"/>
    <w:rsid w:val="00C90DA1"/>
    <w:rsid w:val="00C93C31"/>
    <w:rsid w:val="00C952A7"/>
    <w:rsid w:val="00C959B1"/>
    <w:rsid w:val="00C96B27"/>
    <w:rsid w:val="00CA090A"/>
    <w:rsid w:val="00CA0FD7"/>
    <w:rsid w:val="00CA235F"/>
    <w:rsid w:val="00CA4254"/>
    <w:rsid w:val="00CA5131"/>
    <w:rsid w:val="00CB0B7A"/>
    <w:rsid w:val="00CB2A25"/>
    <w:rsid w:val="00CB3699"/>
    <w:rsid w:val="00CB45E1"/>
    <w:rsid w:val="00CB4673"/>
    <w:rsid w:val="00CB7041"/>
    <w:rsid w:val="00CB7537"/>
    <w:rsid w:val="00CC20F6"/>
    <w:rsid w:val="00CD1165"/>
    <w:rsid w:val="00CD143C"/>
    <w:rsid w:val="00CD508E"/>
    <w:rsid w:val="00CD57F2"/>
    <w:rsid w:val="00CD63B6"/>
    <w:rsid w:val="00CE1A9C"/>
    <w:rsid w:val="00CE203C"/>
    <w:rsid w:val="00CE2EC2"/>
    <w:rsid w:val="00CF219C"/>
    <w:rsid w:val="00CF2666"/>
    <w:rsid w:val="00CF3A4A"/>
    <w:rsid w:val="00D002F2"/>
    <w:rsid w:val="00D00E5C"/>
    <w:rsid w:val="00D015A2"/>
    <w:rsid w:val="00D03042"/>
    <w:rsid w:val="00D03188"/>
    <w:rsid w:val="00D102CC"/>
    <w:rsid w:val="00D10E67"/>
    <w:rsid w:val="00D1264A"/>
    <w:rsid w:val="00D12C7D"/>
    <w:rsid w:val="00D179E9"/>
    <w:rsid w:val="00D2020D"/>
    <w:rsid w:val="00D21537"/>
    <w:rsid w:val="00D221F4"/>
    <w:rsid w:val="00D239C9"/>
    <w:rsid w:val="00D24487"/>
    <w:rsid w:val="00D261CB"/>
    <w:rsid w:val="00D26FF0"/>
    <w:rsid w:val="00D31370"/>
    <w:rsid w:val="00D32910"/>
    <w:rsid w:val="00D3295C"/>
    <w:rsid w:val="00D33B74"/>
    <w:rsid w:val="00D34B0B"/>
    <w:rsid w:val="00D351CF"/>
    <w:rsid w:val="00D35ADE"/>
    <w:rsid w:val="00D362B5"/>
    <w:rsid w:val="00D36921"/>
    <w:rsid w:val="00D37F32"/>
    <w:rsid w:val="00D4308A"/>
    <w:rsid w:val="00D467C0"/>
    <w:rsid w:val="00D46A80"/>
    <w:rsid w:val="00D46D28"/>
    <w:rsid w:val="00D47860"/>
    <w:rsid w:val="00D52BF2"/>
    <w:rsid w:val="00D533FC"/>
    <w:rsid w:val="00D54432"/>
    <w:rsid w:val="00D61271"/>
    <w:rsid w:val="00D638E3"/>
    <w:rsid w:val="00D656F0"/>
    <w:rsid w:val="00D711EF"/>
    <w:rsid w:val="00D7179D"/>
    <w:rsid w:val="00D71805"/>
    <w:rsid w:val="00D71F13"/>
    <w:rsid w:val="00D76083"/>
    <w:rsid w:val="00D815C0"/>
    <w:rsid w:val="00D82600"/>
    <w:rsid w:val="00D8277B"/>
    <w:rsid w:val="00D82EF0"/>
    <w:rsid w:val="00D87616"/>
    <w:rsid w:val="00D935EB"/>
    <w:rsid w:val="00D9501D"/>
    <w:rsid w:val="00D951D9"/>
    <w:rsid w:val="00D953AB"/>
    <w:rsid w:val="00D955EE"/>
    <w:rsid w:val="00D95FC8"/>
    <w:rsid w:val="00D96CBE"/>
    <w:rsid w:val="00DA22C7"/>
    <w:rsid w:val="00DA358F"/>
    <w:rsid w:val="00DA5447"/>
    <w:rsid w:val="00DB48BA"/>
    <w:rsid w:val="00DC090A"/>
    <w:rsid w:val="00DC0C4A"/>
    <w:rsid w:val="00DC17D2"/>
    <w:rsid w:val="00DC2975"/>
    <w:rsid w:val="00DC2BF9"/>
    <w:rsid w:val="00DD1E79"/>
    <w:rsid w:val="00DD1F0C"/>
    <w:rsid w:val="00DD2266"/>
    <w:rsid w:val="00DD3557"/>
    <w:rsid w:val="00DD4221"/>
    <w:rsid w:val="00DD4A58"/>
    <w:rsid w:val="00DD4BD7"/>
    <w:rsid w:val="00DD5D52"/>
    <w:rsid w:val="00DE1317"/>
    <w:rsid w:val="00DF203C"/>
    <w:rsid w:val="00DF21C5"/>
    <w:rsid w:val="00DF2F77"/>
    <w:rsid w:val="00DF5957"/>
    <w:rsid w:val="00DF628A"/>
    <w:rsid w:val="00E0129A"/>
    <w:rsid w:val="00E01F9F"/>
    <w:rsid w:val="00E03178"/>
    <w:rsid w:val="00E04912"/>
    <w:rsid w:val="00E05C0A"/>
    <w:rsid w:val="00E06F98"/>
    <w:rsid w:val="00E07AB9"/>
    <w:rsid w:val="00E11E75"/>
    <w:rsid w:val="00E127FA"/>
    <w:rsid w:val="00E221B3"/>
    <w:rsid w:val="00E24882"/>
    <w:rsid w:val="00E278D0"/>
    <w:rsid w:val="00E300EB"/>
    <w:rsid w:val="00E33E2A"/>
    <w:rsid w:val="00E3421A"/>
    <w:rsid w:val="00E34AFD"/>
    <w:rsid w:val="00E42655"/>
    <w:rsid w:val="00E42705"/>
    <w:rsid w:val="00E4552F"/>
    <w:rsid w:val="00E45814"/>
    <w:rsid w:val="00E503C2"/>
    <w:rsid w:val="00E5206E"/>
    <w:rsid w:val="00E60D45"/>
    <w:rsid w:val="00E61327"/>
    <w:rsid w:val="00E67353"/>
    <w:rsid w:val="00E679C2"/>
    <w:rsid w:val="00E70313"/>
    <w:rsid w:val="00E722CE"/>
    <w:rsid w:val="00E758B1"/>
    <w:rsid w:val="00E76216"/>
    <w:rsid w:val="00E76386"/>
    <w:rsid w:val="00E76487"/>
    <w:rsid w:val="00E81F84"/>
    <w:rsid w:val="00E84F37"/>
    <w:rsid w:val="00E87B3C"/>
    <w:rsid w:val="00E9121E"/>
    <w:rsid w:val="00E913EA"/>
    <w:rsid w:val="00E96562"/>
    <w:rsid w:val="00EA08B8"/>
    <w:rsid w:val="00EA6C46"/>
    <w:rsid w:val="00EB01BC"/>
    <w:rsid w:val="00EB0DD1"/>
    <w:rsid w:val="00EB1774"/>
    <w:rsid w:val="00EB3E5D"/>
    <w:rsid w:val="00EC47DD"/>
    <w:rsid w:val="00EC6A4D"/>
    <w:rsid w:val="00EC6B71"/>
    <w:rsid w:val="00ED3D03"/>
    <w:rsid w:val="00ED5181"/>
    <w:rsid w:val="00ED5A4E"/>
    <w:rsid w:val="00ED736E"/>
    <w:rsid w:val="00ED7B8B"/>
    <w:rsid w:val="00EE203B"/>
    <w:rsid w:val="00EE22B8"/>
    <w:rsid w:val="00EE6332"/>
    <w:rsid w:val="00EE6B09"/>
    <w:rsid w:val="00EE7187"/>
    <w:rsid w:val="00EE7439"/>
    <w:rsid w:val="00EF1B95"/>
    <w:rsid w:val="00EF5F21"/>
    <w:rsid w:val="00F030FF"/>
    <w:rsid w:val="00F10535"/>
    <w:rsid w:val="00F124EF"/>
    <w:rsid w:val="00F13CE5"/>
    <w:rsid w:val="00F14A8B"/>
    <w:rsid w:val="00F152BA"/>
    <w:rsid w:val="00F158EB"/>
    <w:rsid w:val="00F15985"/>
    <w:rsid w:val="00F1651A"/>
    <w:rsid w:val="00F16A55"/>
    <w:rsid w:val="00F206D8"/>
    <w:rsid w:val="00F21DD8"/>
    <w:rsid w:val="00F2484C"/>
    <w:rsid w:val="00F25A88"/>
    <w:rsid w:val="00F25C55"/>
    <w:rsid w:val="00F264F6"/>
    <w:rsid w:val="00F276D9"/>
    <w:rsid w:val="00F311DB"/>
    <w:rsid w:val="00F31DBA"/>
    <w:rsid w:val="00F31E19"/>
    <w:rsid w:val="00F37D83"/>
    <w:rsid w:val="00F40463"/>
    <w:rsid w:val="00F4747C"/>
    <w:rsid w:val="00F51092"/>
    <w:rsid w:val="00F5165D"/>
    <w:rsid w:val="00F523A2"/>
    <w:rsid w:val="00F601FE"/>
    <w:rsid w:val="00F61DA9"/>
    <w:rsid w:val="00F62633"/>
    <w:rsid w:val="00F67ABD"/>
    <w:rsid w:val="00F705B7"/>
    <w:rsid w:val="00F72511"/>
    <w:rsid w:val="00F74919"/>
    <w:rsid w:val="00F77C76"/>
    <w:rsid w:val="00F81EF2"/>
    <w:rsid w:val="00F856E9"/>
    <w:rsid w:val="00F86BBF"/>
    <w:rsid w:val="00F90BCB"/>
    <w:rsid w:val="00F90D37"/>
    <w:rsid w:val="00F9147B"/>
    <w:rsid w:val="00F973C4"/>
    <w:rsid w:val="00FB4177"/>
    <w:rsid w:val="00FB43DB"/>
    <w:rsid w:val="00FB6D64"/>
    <w:rsid w:val="00FB7253"/>
    <w:rsid w:val="00FC02A5"/>
    <w:rsid w:val="00FC353C"/>
    <w:rsid w:val="00FD12C6"/>
    <w:rsid w:val="00FD2203"/>
    <w:rsid w:val="00FD56B9"/>
    <w:rsid w:val="00FD5931"/>
    <w:rsid w:val="00FE1170"/>
    <w:rsid w:val="00FE18F6"/>
    <w:rsid w:val="00FE5A92"/>
    <w:rsid w:val="00FE758F"/>
    <w:rsid w:val="00FF04E2"/>
    <w:rsid w:val="00FF424F"/>
    <w:rsid w:val="017F1E5D"/>
    <w:rsid w:val="01A7655C"/>
    <w:rsid w:val="02482DB0"/>
    <w:rsid w:val="05145058"/>
    <w:rsid w:val="053C77D9"/>
    <w:rsid w:val="056E4AE7"/>
    <w:rsid w:val="08306BA9"/>
    <w:rsid w:val="0AAB0867"/>
    <w:rsid w:val="0AEE4B4D"/>
    <w:rsid w:val="0CBF4181"/>
    <w:rsid w:val="0EA633C6"/>
    <w:rsid w:val="0EDF20A1"/>
    <w:rsid w:val="0EF45DA5"/>
    <w:rsid w:val="100D3528"/>
    <w:rsid w:val="102B64CB"/>
    <w:rsid w:val="1053648E"/>
    <w:rsid w:val="11AA66F2"/>
    <w:rsid w:val="11D942A4"/>
    <w:rsid w:val="131533D5"/>
    <w:rsid w:val="143B1387"/>
    <w:rsid w:val="1A1575A5"/>
    <w:rsid w:val="1BDB2B53"/>
    <w:rsid w:val="1D3C1425"/>
    <w:rsid w:val="1D453161"/>
    <w:rsid w:val="1D5B3127"/>
    <w:rsid w:val="1DCB75FE"/>
    <w:rsid w:val="202916BF"/>
    <w:rsid w:val="210F7109"/>
    <w:rsid w:val="2190618E"/>
    <w:rsid w:val="21B02029"/>
    <w:rsid w:val="224F7AD5"/>
    <w:rsid w:val="2260710E"/>
    <w:rsid w:val="239454C9"/>
    <w:rsid w:val="23996B76"/>
    <w:rsid w:val="24ED7B8D"/>
    <w:rsid w:val="271909D4"/>
    <w:rsid w:val="2741322A"/>
    <w:rsid w:val="27EC40E4"/>
    <w:rsid w:val="2957036D"/>
    <w:rsid w:val="2CCF4920"/>
    <w:rsid w:val="2EBA2823"/>
    <w:rsid w:val="351D10E8"/>
    <w:rsid w:val="35812566"/>
    <w:rsid w:val="361C7F60"/>
    <w:rsid w:val="366A0686"/>
    <w:rsid w:val="37E304D4"/>
    <w:rsid w:val="38910EEF"/>
    <w:rsid w:val="3A36495D"/>
    <w:rsid w:val="3A946FA4"/>
    <w:rsid w:val="3B9BD72E"/>
    <w:rsid w:val="3BA01C77"/>
    <w:rsid w:val="3BB96F45"/>
    <w:rsid w:val="3BBC7AD3"/>
    <w:rsid w:val="3BF73EB0"/>
    <w:rsid w:val="3E29246E"/>
    <w:rsid w:val="3E604335"/>
    <w:rsid w:val="40016F0E"/>
    <w:rsid w:val="41311670"/>
    <w:rsid w:val="415D50F9"/>
    <w:rsid w:val="43575E62"/>
    <w:rsid w:val="4534416B"/>
    <w:rsid w:val="453A2615"/>
    <w:rsid w:val="453B5621"/>
    <w:rsid w:val="458321C8"/>
    <w:rsid w:val="459933BC"/>
    <w:rsid w:val="45C27374"/>
    <w:rsid w:val="475F3D32"/>
    <w:rsid w:val="47A44828"/>
    <w:rsid w:val="4AF17FB9"/>
    <w:rsid w:val="4E5A05DC"/>
    <w:rsid w:val="4F2575A0"/>
    <w:rsid w:val="4F7F4BB0"/>
    <w:rsid w:val="52134EEC"/>
    <w:rsid w:val="53DB7075"/>
    <w:rsid w:val="54915F0E"/>
    <w:rsid w:val="56691721"/>
    <w:rsid w:val="57274E9E"/>
    <w:rsid w:val="573F58B4"/>
    <w:rsid w:val="57DA7B22"/>
    <w:rsid w:val="58115F61"/>
    <w:rsid w:val="592A1893"/>
    <w:rsid w:val="59C17ADA"/>
    <w:rsid w:val="5E015A01"/>
    <w:rsid w:val="62880925"/>
    <w:rsid w:val="62A64D3B"/>
    <w:rsid w:val="63AE011A"/>
    <w:rsid w:val="64D748D8"/>
    <w:rsid w:val="6737224F"/>
    <w:rsid w:val="68C46AFC"/>
    <w:rsid w:val="69704370"/>
    <w:rsid w:val="69CE0BE1"/>
    <w:rsid w:val="69D722B6"/>
    <w:rsid w:val="6B067BD7"/>
    <w:rsid w:val="6CD376D6"/>
    <w:rsid w:val="6D5D7D92"/>
    <w:rsid w:val="6DDC76BB"/>
    <w:rsid w:val="6F432C90"/>
    <w:rsid w:val="6F5545C5"/>
    <w:rsid w:val="73D83735"/>
    <w:rsid w:val="74897B46"/>
    <w:rsid w:val="74A54DF2"/>
    <w:rsid w:val="74AE067D"/>
    <w:rsid w:val="74E021FB"/>
    <w:rsid w:val="75141E1C"/>
    <w:rsid w:val="752A5C5E"/>
    <w:rsid w:val="769F69A6"/>
    <w:rsid w:val="76B13D52"/>
    <w:rsid w:val="7729050D"/>
    <w:rsid w:val="77503935"/>
    <w:rsid w:val="79DA093B"/>
    <w:rsid w:val="79EC74CE"/>
    <w:rsid w:val="7A1C3FB7"/>
    <w:rsid w:val="7A4E5E7A"/>
    <w:rsid w:val="7AE051C0"/>
    <w:rsid w:val="7B056B08"/>
    <w:rsid w:val="7D3D1FE2"/>
    <w:rsid w:val="7F7F7336"/>
    <w:rsid w:val="DFFE80BC"/>
    <w:rsid w:val="F7FEE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26"/>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2">
    <w:name w:val="Default Paragraph Font"/>
    <w:semiHidden/>
    <w:unhideWhenUsed/>
    <w:qFormat/>
    <w:uiPriority w:val="1"/>
  </w:style>
  <w:style w:type="table" w:default="1" w:styleId="17">
    <w:name w:val="Normal Table"/>
    <w:semiHidden/>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24"/>
    <w:semiHidden/>
    <w:unhideWhenUsed/>
    <w:qFormat/>
    <w:uiPriority w:val="99"/>
    <w:rPr>
      <w:b/>
      <w:bCs/>
    </w:rPr>
  </w:style>
  <w:style w:type="paragraph" w:styleId="4">
    <w:name w:val="annotation text"/>
    <w:basedOn w:val="1"/>
    <w:link w:val="22"/>
    <w:unhideWhenUsed/>
    <w:qFormat/>
    <w:uiPriority w:val="0"/>
    <w:pPr>
      <w:jc w:val="left"/>
    </w:pPr>
  </w:style>
  <w:style w:type="paragraph" w:styleId="5">
    <w:name w:val="Body Text"/>
    <w:basedOn w:val="1"/>
    <w:link w:val="69"/>
    <w:semiHidden/>
    <w:qFormat/>
    <w:uiPriority w:val="0"/>
    <w:pPr>
      <w:widowControl/>
      <w:kinsoku w:val="0"/>
      <w:autoSpaceDE w:val="0"/>
      <w:autoSpaceDN w:val="0"/>
      <w:adjustRightInd w:val="0"/>
      <w:snapToGrid w:val="0"/>
      <w:jc w:val="left"/>
      <w:textAlignment w:val="baseline"/>
    </w:pPr>
    <w:rPr>
      <w:rFonts w:ascii="宋体" w:hAnsi="宋体" w:eastAsia="宋体" w:cs="宋体"/>
      <w:snapToGrid w:val="0"/>
      <w:color w:val="000000"/>
      <w:kern w:val="0"/>
      <w:sz w:val="16"/>
      <w:szCs w:val="16"/>
      <w:lang w:eastAsia="en-US"/>
    </w:rPr>
  </w:style>
  <w:style w:type="paragraph" w:styleId="6">
    <w:name w:val="Plain Text"/>
    <w:basedOn w:val="1"/>
    <w:link w:val="27"/>
    <w:qFormat/>
    <w:uiPriority w:val="0"/>
    <w:rPr>
      <w:rFonts w:ascii="宋体" w:hAnsi="Courier New" w:eastAsia="宋体" w:cs="Times New Roman"/>
      <w:kern w:val="0"/>
      <w:sz w:val="20"/>
      <w:szCs w:val="21"/>
    </w:rPr>
  </w:style>
  <w:style w:type="paragraph" w:styleId="7">
    <w:name w:val="Balloon Text"/>
    <w:basedOn w:val="1"/>
    <w:link w:val="23"/>
    <w:semiHidden/>
    <w:unhideWhenUsed/>
    <w:qFormat/>
    <w:uiPriority w:val="99"/>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link w:val="76"/>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Title"/>
    <w:basedOn w:val="1"/>
    <w:next w:val="1"/>
    <w:link w:val="25"/>
    <w:qFormat/>
    <w:uiPriority w:val="10"/>
    <w:pPr>
      <w:spacing w:before="240" w:after="60"/>
      <w:jc w:val="center"/>
      <w:outlineLvl w:val="0"/>
    </w:pPr>
    <w:rPr>
      <w:rFonts w:eastAsia="宋体" w:asciiTheme="majorHAnsi" w:hAnsiTheme="majorHAnsi" w:cstheme="majorBidi"/>
      <w:b/>
      <w:bCs/>
      <w:sz w:val="32"/>
      <w:szCs w:val="32"/>
    </w:rPr>
  </w:style>
  <w:style w:type="character" w:styleId="13">
    <w:name w:val="Strong"/>
    <w:basedOn w:val="12"/>
    <w:qFormat/>
    <w:uiPriority w:val="22"/>
    <w:rPr>
      <w:b/>
      <w:bCs/>
    </w:rPr>
  </w:style>
  <w:style w:type="character" w:styleId="14">
    <w:name w:val="FollowedHyperlink"/>
    <w:basedOn w:val="12"/>
    <w:semiHidden/>
    <w:unhideWhenUsed/>
    <w:qFormat/>
    <w:uiPriority w:val="99"/>
    <w:rPr>
      <w:color w:val="800080"/>
      <w:u w:val="single"/>
    </w:rPr>
  </w:style>
  <w:style w:type="character" w:styleId="15">
    <w:name w:val="Hyperlink"/>
    <w:basedOn w:val="12"/>
    <w:semiHidden/>
    <w:unhideWhenUsed/>
    <w:qFormat/>
    <w:uiPriority w:val="99"/>
    <w:rPr>
      <w:color w:val="0000FF"/>
      <w:u w:val="single"/>
    </w:rPr>
  </w:style>
  <w:style w:type="character" w:styleId="16">
    <w:name w:val="annotation reference"/>
    <w:basedOn w:val="12"/>
    <w:unhideWhenUsed/>
    <w:qFormat/>
    <w:uiPriority w:val="0"/>
    <w:rPr>
      <w:sz w:val="21"/>
      <w:szCs w:val="21"/>
    </w:rPr>
  </w:style>
  <w:style w:type="table" w:styleId="18">
    <w:name w:val="Table Grid"/>
    <w:basedOn w:val="17"/>
    <w:qFormat/>
    <w:uiPriority w:val="0"/>
    <w:pPr>
      <w:widowControl w:val="0"/>
      <w:jc w:val="both"/>
    </w:pPr>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9">
    <w:name w:val="页眉 字符"/>
    <w:basedOn w:val="12"/>
    <w:link w:val="9"/>
    <w:qFormat/>
    <w:uiPriority w:val="99"/>
    <w:rPr>
      <w:sz w:val="18"/>
      <w:szCs w:val="18"/>
    </w:rPr>
  </w:style>
  <w:style w:type="character" w:customStyle="1" w:styleId="20">
    <w:name w:val="页脚 字符"/>
    <w:basedOn w:val="12"/>
    <w:link w:val="8"/>
    <w:qFormat/>
    <w:uiPriority w:val="99"/>
    <w:rPr>
      <w:sz w:val="18"/>
      <w:szCs w:val="18"/>
    </w:rPr>
  </w:style>
  <w:style w:type="paragraph" w:styleId="21">
    <w:name w:val="List Paragraph"/>
    <w:basedOn w:val="1"/>
    <w:link w:val="29"/>
    <w:qFormat/>
    <w:uiPriority w:val="0"/>
    <w:pPr>
      <w:ind w:firstLine="420" w:firstLineChars="200"/>
    </w:pPr>
  </w:style>
  <w:style w:type="character" w:customStyle="1" w:styleId="22">
    <w:name w:val="批注文字 字符"/>
    <w:basedOn w:val="12"/>
    <w:link w:val="4"/>
    <w:qFormat/>
    <w:uiPriority w:val="0"/>
  </w:style>
  <w:style w:type="character" w:customStyle="1" w:styleId="23">
    <w:name w:val="批注框文本 字符"/>
    <w:basedOn w:val="12"/>
    <w:link w:val="7"/>
    <w:semiHidden/>
    <w:qFormat/>
    <w:uiPriority w:val="99"/>
    <w:rPr>
      <w:sz w:val="18"/>
      <w:szCs w:val="18"/>
    </w:rPr>
  </w:style>
  <w:style w:type="character" w:customStyle="1" w:styleId="24">
    <w:name w:val="批注主题 字符"/>
    <w:basedOn w:val="22"/>
    <w:link w:val="3"/>
    <w:semiHidden/>
    <w:qFormat/>
    <w:uiPriority w:val="99"/>
    <w:rPr>
      <w:b/>
      <w:bCs/>
    </w:rPr>
  </w:style>
  <w:style w:type="character" w:customStyle="1" w:styleId="25">
    <w:name w:val="标题 字符"/>
    <w:basedOn w:val="12"/>
    <w:link w:val="11"/>
    <w:qFormat/>
    <w:uiPriority w:val="10"/>
    <w:rPr>
      <w:rFonts w:eastAsia="宋体" w:asciiTheme="majorHAnsi" w:hAnsiTheme="majorHAnsi" w:cstheme="majorBidi"/>
      <w:b/>
      <w:bCs/>
      <w:sz w:val="32"/>
      <w:szCs w:val="32"/>
    </w:rPr>
  </w:style>
  <w:style w:type="character" w:customStyle="1" w:styleId="26">
    <w:name w:val="标题 2 字符"/>
    <w:basedOn w:val="12"/>
    <w:link w:val="2"/>
    <w:qFormat/>
    <w:uiPriority w:val="0"/>
    <w:rPr>
      <w:rFonts w:ascii="Arial" w:hAnsi="Arial" w:eastAsia="黑体" w:cs="Times New Roman"/>
      <w:b/>
      <w:bCs/>
      <w:sz w:val="32"/>
      <w:szCs w:val="32"/>
    </w:rPr>
  </w:style>
  <w:style w:type="character" w:customStyle="1" w:styleId="27">
    <w:name w:val="纯文本 字符"/>
    <w:basedOn w:val="12"/>
    <w:link w:val="6"/>
    <w:qFormat/>
    <w:uiPriority w:val="99"/>
    <w:rPr>
      <w:rFonts w:ascii="宋体" w:hAnsi="Courier New" w:eastAsia="宋体" w:cs="Times New Roman"/>
      <w:kern w:val="0"/>
      <w:sz w:val="20"/>
      <w:szCs w:val="21"/>
    </w:rPr>
  </w:style>
  <w:style w:type="paragraph" w:customStyle="1" w:styleId="28">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spacing w:val="20"/>
      <w:kern w:val="0"/>
      <w:sz w:val="24"/>
      <w:szCs w:val="20"/>
    </w:rPr>
  </w:style>
  <w:style w:type="character" w:customStyle="1" w:styleId="29">
    <w:name w:val="列表段落 字符"/>
    <w:link w:val="21"/>
    <w:qFormat/>
    <w:uiPriority w:val="34"/>
  </w:style>
  <w:style w:type="paragraph" w:customStyle="1" w:styleId="30">
    <w:name w:val="样式4"/>
    <w:basedOn w:val="1"/>
    <w:qFormat/>
    <w:uiPriority w:val="0"/>
    <w:pPr>
      <w:numPr>
        <w:ilvl w:val="3"/>
        <w:numId w:val="1"/>
      </w:numPr>
      <w:tabs>
        <w:tab w:val="left" w:pos="425"/>
        <w:tab w:val="left" w:pos="1984"/>
        <w:tab w:val="clear" w:pos="851"/>
      </w:tabs>
    </w:pPr>
    <w:rPr>
      <w:rFonts w:ascii="Times New Roman" w:hAnsi="Times New Roman" w:eastAsia="宋体" w:cs="Times New Roman"/>
      <w:szCs w:val="24"/>
    </w:rPr>
  </w:style>
  <w:style w:type="paragraph" w:customStyle="1" w:styleId="31">
    <w:name w:val="列出段落1"/>
    <w:basedOn w:val="1"/>
    <w:link w:val="32"/>
    <w:qFormat/>
    <w:uiPriority w:val="34"/>
    <w:pPr>
      <w:ind w:firstLine="420" w:firstLineChars="200"/>
    </w:pPr>
    <w:rPr>
      <w:rFonts w:ascii="Times New Roman" w:hAnsi="Times New Roman" w:eastAsia="宋体" w:cs="Times New Roman"/>
      <w:szCs w:val="21"/>
    </w:rPr>
  </w:style>
  <w:style w:type="character" w:customStyle="1" w:styleId="32">
    <w:name w:val="List Paragraph Char"/>
    <w:link w:val="31"/>
    <w:qFormat/>
    <w:locked/>
    <w:uiPriority w:val="0"/>
    <w:rPr>
      <w:rFonts w:ascii="Times New Roman" w:hAnsi="Times New Roman" w:eastAsia="宋体" w:cs="Times New Roman"/>
      <w:szCs w:val="21"/>
    </w:rPr>
  </w:style>
  <w:style w:type="paragraph" w:customStyle="1" w:styleId="33">
    <w:name w:val="_Style 121"/>
    <w:basedOn w:val="1"/>
    <w:next w:val="21"/>
    <w:qFormat/>
    <w:uiPriority w:val="34"/>
    <w:pPr>
      <w:ind w:firstLine="420" w:firstLineChars="200"/>
    </w:pPr>
    <w:rPr>
      <w:rFonts w:ascii="Calibri" w:hAnsi="Calibri" w:eastAsia="宋体" w:cs="Times New Roman"/>
    </w:rPr>
  </w:style>
  <w:style w:type="paragraph" w:customStyle="1" w:styleId="34">
    <w:name w:val="start-font-1"/>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35">
    <w:name w:val="start-font-3"/>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36">
    <w:name w:val="纯文本 Char1"/>
    <w:qFormat/>
    <w:uiPriority w:val="0"/>
    <w:rPr>
      <w:rFonts w:ascii="宋体" w:hAnsi="Courier New" w:eastAsia="宋体" w:cs="Times New Roman"/>
      <w:kern w:val="0"/>
      <w:sz w:val="20"/>
      <w:szCs w:val="21"/>
    </w:rPr>
  </w:style>
  <w:style w:type="paragraph" w:customStyle="1" w:styleId="37">
    <w:name w:val="H正文W"/>
    <w:basedOn w:val="1"/>
    <w:qFormat/>
    <w:uiPriority w:val="0"/>
    <w:pPr>
      <w:snapToGrid w:val="0"/>
      <w:spacing w:line="360" w:lineRule="auto"/>
      <w:ind w:firstLine="200" w:firstLineChars="200"/>
    </w:pPr>
    <w:rPr>
      <w:rFonts w:ascii="Times New Roman" w:hAnsi="Times New Roman" w:eastAsia="宋体" w:cs="Times New Roman"/>
      <w:szCs w:val="21"/>
    </w:rPr>
  </w:style>
  <w:style w:type="paragraph" w:customStyle="1" w:styleId="38">
    <w:name w:val="H正文2级"/>
    <w:basedOn w:val="1"/>
    <w:qFormat/>
    <w:uiPriority w:val="0"/>
    <w:pPr>
      <w:keepNext/>
      <w:keepLines/>
      <w:pageBreakBefore/>
      <w:tabs>
        <w:tab w:val="left" w:pos="426"/>
      </w:tabs>
      <w:spacing w:before="240" w:line="400" w:lineRule="exact"/>
      <w:outlineLvl w:val="1"/>
    </w:pPr>
    <w:rPr>
      <w:rFonts w:ascii="Times New Roman" w:hAnsi="Times New Roman" w:eastAsia="微软雅黑" w:cs="Times New Roman"/>
      <w:b/>
      <w:bCs/>
      <w:szCs w:val="20"/>
    </w:rPr>
  </w:style>
  <w:style w:type="paragraph" w:customStyle="1" w:styleId="39">
    <w:name w:val="H正文3级"/>
    <w:basedOn w:val="37"/>
    <w:qFormat/>
    <w:uiPriority w:val="0"/>
    <w:pPr>
      <w:outlineLvl w:val="2"/>
    </w:pPr>
    <w:rPr>
      <w:b/>
    </w:rPr>
  </w:style>
  <w:style w:type="paragraph" w:customStyle="1" w:styleId="40">
    <w:name w:val="H正文4级"/>
    <w:basedOn w:val="37"/>
    <w:qFormat/>
    <w:uiPriority w:val="0"/>
    <w:pPr>
      <w:outlineLvl w:val="3"/>
    </w:pPr>
    <w:rPr>
      <w:b/>
    </w:rPr>
  </w:style>
  <w:style w:type="paragraph" w:customStyle="1" w:styleId="41">
    <w:name w:val="修订1"/>
    <w:hidden/>
    <w:semiHidden/>
    <w:qFormat/>
    <w:uiPriority w:val="99"/>
    <w:pPr>
      <w:spacing w:after="160" w:line="278" w:lineRule="auto"/>
    </w:pPr>
    <w:rPr>
      <w:rFonts w:asciiTheme="minorHAnsi" w:hAnsiTheme="minorHAnsi" w:eastAsiaTheme="minorEastAsia" w:cstheme="minorBidi"/>
      <w:kern w:val="2"/>
      <w:sz w:val="21"/>
      <w:szCs w:val="22"/>
      <w:lang w:val="en-US" w:eastAsia="zh-CN" w:bidi="ar-SA"/>
    </w:rPr>
  </w:style>
  <w:style w:type="character" w:customStyle="1" w:styleId="42">
    <w:name w:val="列出段落 Char1"/>
    <w:qFormat/>
    <w:locked/>
    <w:uiPriority w:val="99"/>
    <w:rPr>
      <w:rFonts w:ascii="Times New Roman" w:hAnsi="Times New Roman" w:eastAsia="宋体" w:cs="Times New Roman"/>
      <w:szCs w:val="24"/>
    </w:rPr>
  </w:style>
  <w:style w:type="character" w:customStyle="1" w:styleId="43">
    <w:name w:val="批注文字 字符1"/>
    <w:qFormat/>
    <w:uiPriority w:val="0"/>
    <w:rPr>
      <w:szCs w:val="24"/>
    </w:rPr>
  </w:style>
  <w:style w:type="character" w:customStyle="1" w:styleId="44">
    <w:name w:val="列出段落 字符"/>
    <w:qFormat/>
    <w:uiPriority w:val="34"/>
    <w:rPr>
      <w:rFonts w:ascii="Calibri" w:hAnsi="Calibri"/>
      <w:kern w:val="2"/>
      <w:sz w:val="21"/>
      <w:szCs w:val="22"/>
    </w:rPr>
  </w:style>
  <w:style w:type="paragraph" w:customStyle="1" w:styleId="45">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46">
    <w:name w:val="xl65"/>
    <w:basedOn w:val="1"/>
    <w:qFormat/>
    <w:uiPriority w:val="0"/>
    <w:pPr>
      <w:widowControl/>
      <w:pBdr>
        <w:top w:val="single" w:color="000000" w:sz="8" w:space="0"/>
        <w:left w:val="single" w:color="000000" w:sz="8" w:space="0"/>
        <w:bottom w:val="single" w:color="000000" w:sz="8" w:space="0"/>
        <w:right w:val="single" w:color="000000" w:sz="8" w:space="0"/>
      </w:pBdr>
      <w:spacing w:before="100" w:beforeAutospacing="1" w:after="100" w:afterAutospacing="1"/>
      <w:jc w:val="center"/>
    </w:pPr>
    <w:rPr>
      <w:rFonts w:ascii="宋体" w:hAnsi="宋体" w:eastAsia="宋体" w:cs="宋体"/>
      <w:b/>
      <w:bCs/>
      <w:color w:val="000000"/>
      <w:kern w:val="0"/>
      <w:sz w:val="24"/>
      <w:szCs w:val="24"/>
    </w:rPr>
  </w:style>
  <w:style w:type="paragraph" w:customStyle="1" w:styleId="47">
    <w:name w:val="xl66"/>
    <w:basedOn w:val="1"/>
    <w:qFormat/>
    <w:uiPriority w:val="0"/>
    <w:pPr>
      <w:widowControl/>
      <w:pBdr>
        <w:top w:val="single" w:color="000000" w:sz="8" w:space="0"/>
        <w:bottom w:val="single" w:color="000000" w:sz="8" w:space="0"/>
        <w:right w:val="single" w:color="000000" w:sz="8" w:space="0"/>
      </w:pBdr>
      <w:spacing w:before="100" w:beforeAutospacing="1" w:after="100" w:afterAutospacing="1"/>
      <w:jc w:val="center"/>
    </w:pPr>
    <w:rPr>
      <w:rFonts w:ascii="宋体" w:hAnsi="宋体" w:eastAsia="宋体" w:cs="宋体"/>
      <w:b/>
      <w:bCs/>
      <w:color w:val="000000"/>
      <w:kern w:val="0"/>
      <w:sz w:val="24"/>
      <w:szCs w:val="24"/>
    </w:rPr>
  </w:style>
  <w:style w:type="paragraph" w:customStyle="1" w:styleId="48">
    <w:name w:val="xl67"/>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49">
    <w:name w:val="xl68"/>
    <w:basedOn w:val="1"/>
    <w:qFormat/>
    <w:uiPriority w:val="0"/>
    <w:pPr>
      <w:widowControl/>
      <w:pBdr>
        <w:right w:val="single" w:color="000000"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50">
    <w:name w:val="xl69"/>
    <w:basedOn w:val="1"/>
    <w:qFormat/>
    <w:uiPriority w:val="0"/>
    <w:pPr>
      <w:widowControl/>
      <w:pBdr>
        <w:right w:val="single" w:color="000000" w:sz="8" w:space="0"/>
      </w:pBdr>
      <w:spacing w:before="100" w:beforeAutospacing="1" w:after="100" w:afterAutospacing="1"/>
      <w:jc w:val="left"/>
    </w:pPr>
    <w:rPr>
      <w:rFonts w:ascii="宋体" w:hAnsi="宋体" w:eastAsia="宋体" w:cs="宋体"/>
      <w:color w:val="000000"/>
      <w:kern w:val="0"/>
      <w:sz w:val="16"/>
      <w:szCs w:val="16"/>
    </w:rPr>
  </w:style>
  <w:style w:type="paragraph" w:customStyle="1" w:styleId="51">
    <w:name w:val="xl70"/>
    <w:basedOn w:val="1"/>
    <w:qFormat/>
    <w:uiPriority w:val="0"/>
    <w:pPr>
      <w:widowControl/>
      <w:pBdr>
        <w:bottom w:val="single" w:color="000000" w:sz="8" w:space="0"/>
        <w:right w:val="single" w:color="000000" w:sz="8" w:space="0"/>
      </w:pBdr>
      <w:spacing w:before="100" w:beforeAutospacing="1" w:after="100" w:afterAutospacing="1"/>
      <w:jc w:val="left"/>
    </w:pPr>
    <w:rPr>
      <w:rFonts w:ascii="宋体" w:hAnsi="宋体" w:eastAsia="宋体" w:cs="宋体"/>
      <w:color w:val="000000"/>
      <w:kern w:val="0"/>
      <w:sz w:val="16"/>
      <w:szCs w:val="16"/>
    </w:rPr>
  </w:style>
  <w:style w:type="paragraph" w:customStyle="1" w:styleId="52">
    <w:name w:val="xl71"/>
    <w:basedOn w:val="1"/>
    <w:qFormat/>
    <w:uiPriority w:val="0"/>
    <w:pPr>
      <w:widowControl/>
      <w:pBdr>
        <w:left w:val="single" w:color="000000" w:sz="8" w:space="0"/>
        <w:bottom w:val="single" w:color="000000" w:sz="8" w:space="0"/>
        <w:right w:val="single" w:color="000000"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53">
    <w:name w:val="xl72"/>
    <w:basedOn w:val="1"/>
    <w:qFormat/>
    <w:uiPriority w:val="0"/>
    <w:pPr>
      <w:widowControl/>
      <w:pBdr>
        <w:bottom w:val="single" w:color="000000" w:sz="8" w:space="0"/>
        <w:right w:val="single" w:color="000000"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54">
    <w:name w:val="xl73"/>
    <w:basedOn w:val="1"/>
    <w:qFormat/>
    <w:uiPriority w:val="0"/>
    <w:pPr>
      <w:widowControl/>
      <w:pBdr>
        <w:top w:val="single" w:color="000000" w:sz="8" w:space="0"/>
        <w:left w:val="single" w:color="000000" w:sz="8" w:space="0"/>
        <w:bottom w:val="single" w:color="000000" w:sz="8" w:space="0"/>
      </w:pBdr>
      <w:spacing w:before="100" w:beforeAutospacing="1" w:after="100" w:afterAutospacing="1"/>
      <w:jc w:val="center"/>
    </w:pPr>
    <w:rPr>
      <w:rFonts w:ascii="宋体" w:hAnsi="宋体" w:eastAsia="宋体" w:cs="宋体"/>
      <w:b/>
      <w:bCs/>
      <w:color w:val="000000"/>
      <w:kern w:val="0"/>
      <w:sz w:val="24"/>
      <w:szCs w:val="24"/>
    </w:rPr>
  </w:style>
  <w:style w:type="paragraph" w:customStyle="1" w:styleId="55">
    <w:name w:val="xl74"/>
    <w:basedOn w:val="1"/>
    <w:qFormat/>
    <w:uiPriority w:val="0"/>
    <w:pPr>
      <w:widowControl/>
      <w:pBdr>
        <w:top w:val="single" w:color="000000" w:sz="8" w:space="0"/>
        <w:bottom w:val="single" w:color="000000" w:sz="8" w:space="0"/>
      </w:pBdr>
      <w:spacing w:before="100" w:beforeAutospacing="1" w:after="100" w:afterAutospacing="1"/>
      <w:jc w:val="center"/>
    </w:pPr>
    <w:rPr>
      <w:rFonts w:ascii="宋体" w:hAnsi="宋体" w:eastAsia="宋体" w:cs="宋体"/>
      <w:b/>
      <w:bCs/>
      <w:color w:val="000000"/>
      <w:kern w:val="0"/>
      <w:sz w:val="24"/>
      <w:szCs w:val="24"/>
    </w:rPr>
  </w:style>
  <w:style w:type="paragraph" w:customStyle="1" w:styleId="56">
    <w:name w:val="xl75"/>
    <w:basedOn w:val="1"/>
    <w:qFormat/>
    <w:uiPriority w:val="0"/>
    <w:pPr>
      <w:widowControl/>
      <w:pBdr>
        <w:left w:val="single" w:color="000000" w:sz="8" w:space="0"/>
        <w:right w:val="single" w:color="000000"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57">
    <w:name w:val="xl76"/>
    <w:basedOn w:val="1"/>
    <w:qFormat/>
    <w:uiPriority w:val="0"/>
    <w:pPr>
      <w:widowControl/>
      <w:pBdr>
        <w:top w:val="single" w:color="000000" w:sz="8" w:space="0"/>
        <w:left w:val="single" w:color="000000" w:sz="8" w:space="0"/>
        <w:right w:val="single" w:color="000000"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58">
    <w:name w:val="xl77"/>
    <w:basedOn w:val="1"/>
    <w:qFormat/>
    <w:uiPriority w:val="0"/>
    <w:pPr>
      <w:widowControl/>
      <w:pBdr>
        <w:left w:val="single" w:color="000000" w:sz="8" w:space="0"/>
        <w:right w:val="single" w:color="000000"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59">
    <w:name w:val="xl78"/>
    <w:basedOn w:val="1"/>
    <w:qFormat/>
    <w:uiPriority w:val="0"/>
    <w:pPr>
      <w:widowControl/>
      <w:pBdr>
        <w:top w:val="single" w:color="000000" w:sz="8" w:space="0"/>
        <w:left w:val="single" w:color="000000" w:sz="8" w:space="0"/>
        <w:right w:val="single" w:color="000000" w:sz="8" w:space="0"/>
      </w:pBdr>
      <w:spacing w:before="100" w:beforeAutospacing="1" w:after="100" w:afterAutospacing="1"/>
      <w:jc w:val="center"/>
    </w:pPr>
    <w:rPr>
      <w:rFonts w:ascii="宋体" w:hAnsi="宋体" w:eastAsia="宋体" w:cs="宋体"/>
      <w:color w:val="000000"/>
      <w:kern w:val="0"/>
      <w:sz w:val="24"/>
      <w:szCs w:val="24"/>
    </w:rPr>
  </w:style>
  <w:style w:type="paragraph" w:customStyle="1" w:styleId="60">
    <w:name w:val="xl79"/>
    <w:basedOn w:val="1"/>
    <w:qFormat/>
    <w:uiPriority w:val="0"/>
    <w:pPr>
      <w:widowControl/>
      <w:pBdr>
        <w:top w:val="single" w:color="000000" w:sz="8" w:space="0"/>
        <w:left w:val="single" w:color="000000" w:sz="8" w:space="0"/>
        <w:bottom w:val="single" w:color="000000" w:sz="8" w:space="0"/>
      </w:pBdr>
      <w:spacing w:before="100" w:beforeAutospacing="1" w:after="100" w:afterAutospacing="1"/>
      <w:jc w:val="center"/>
    </w:pPr>
    <w:rPr>
      <w:rFonts w:ascii="宋体" w:hAnsi="宋体" w:eastAsia="宋体" w:cs="宋体"/>
      <w:b/>
      <w:bCs/>
      <w:color w:val="000000"/>
      <w:kern w:val="0"/>
      <w:sz w:val="24"/>
      <w:szCs w:val="24"/>
    </w:rPr>
  </w:style>
  <w:style w:type="paragraph" w:customStyle="1" w:styleId="61">
    <w:name w:val="xl80"/>
    <w:basedOn w:val="1"/>
    <w:qFormat/>
    <w:uiPriority w:val="0"/>
    <w:pPr>
      <w:widowControl/>
      <w:pBdr>
        <w:top w:val="single" w:color="000000" w:sz="8" w:space="0"/>
        <w:bottom w:val="single" w:color="000000" w:sz="8" w:space="0"/>
      </w:pBdr>
      <w:spacing w:before="100" w:beforeAutospacing="1" w:after="100" w:afterAutospacing="1"/>
      <w:jc w:val="center"/>
    </w:pPr>
    <w:rPr>
      <w:rFonts w:ascii="宋体" w:hAnsi="宋体" w:eastAsia="宋体" w:cs="宋体"/>
      <w:b/>
      <w:bCs/>
      <w:color w:val="000000"/>
      <w:kern w:val="0"/>
      <w:sz w:val="24"/>
      <w:szCs w:val="24"/>
    </w:rPr>
  </w:style>
  <w:style w:type="paragraph" w:customStyle="1" w:styleId="62">
    <w:name w:val="xl81"/>
    <w:basedOn w:val="1"/>
    <w:qFormat/>
    <w:uiPriority w:val="0"/>
    <w:pPr>
      <w:widowControl/>
      <w:pBdr>
        <w:top w:val="single" w:color="000000" w:sz="8" w:space="0"/>
        <w:bottom w:val="single" w:color="000000" w:sz="8" w:space="0"/>
        <w:right w:val="single" w:color="000000" w:sz="8" w:space="0"/>
      </w:pBdr>
      <w:spacing w:before="100" w:beforeAutospacing="1" w:after="100" w:afterAutospacing="1"/>
      <w:jc w:val="center"/>
    </w:pPr>
    <w:rPr>
      <w:rFonts w:ascii="宋体" w:hAnsi="宋体" w:eastAsia="宋体" w:cs="宋体"/>
      <w:b/>
      <w:bCs/>
      <w:color w:val="000000"/>
      <w:kern w:val="0"/>
      <w:sz w:val="24"/>
      <w:szCs w:val="24"/>
    </w:rPr>
  </w:style>
  <w:style w:type="paragraph" w:customStyle="1" w:styleId="63">
    <w:name w:val="修订2"/>
    <w:hidden/>
    <w:semiHidden/>
    <w:qFormat/>
    <w:uiPriority w:val="99"/>
    <w:pPr>
      <w:spacing w:after="160" w:line="278" w:lineRule="auto"/>
    </w:pPr>
    <w:rPr>
      <w:rFonts w:asciiTheme="minorHAnsi" w:hAnsiTheme="minorHAnsi" w:eastAsiaTheme="minorEastAsia" w:cstheme="minorBidi"/>
      <w:kern w:val="2"/>
      <w:sz w:val="21"/>
      <w:szCs w:val="22"/>
      <w:lang w:val="en-US" w:eastAsia="zh-CN" w:bidi="ar-SA"/>
    </w:rPr>
  </w:style>
  <w:style w:type="character" w:customStyle="1" w:styleId="64">
    <w:name w:val="Default Char Char"/>
    <w:link w:val="65"/>
    <w:qFormat/>
    <w:uiPriority w:val="0"/>
    <w:rPr>
      <w:rFonts w:ascii="Arial,Bold" w:hAnsi="Arial,Bold" w:eastAsia="Times New Roman"/>
      <w:lang w:eastAsia="en-US"/>
    </w:rPr>
  </w:style>
  <w:style w:type="paragraph" w:customStyle="1" w:styleId="65">
    <w:name w:val="Default"/>
    <w:link w:val="64"/>
    <w:qFormat/>
    <w:uiPriority w:val="0"/>
    <w:pPr>
      <w:widowControl w:val="0"/>
      <w:autoSpaceDE w:val="0"/>
      <w:autoSpaceDN w:val="0"/>
      <w:adjustRightInd w:val="0"/>
      <w:spacing w:after="160" w:line="278" w:lineRule="auto"/>
    </w:pPr>
    <w:rPr>
      <w:rFonts w:ascii="Arial,Bold" w:hAnsi="Arial,Bold" w:eastAsia="Times New Roman" w:cstheme="minorBidi"/>
      <w:lang w:val="en-US" w:eastAsia="en-US" w:bidi="ar-SA"/>
    </w:rPr>
  </w:style>
  <w:style w:type="character" w:customStyle="1" w:styleId="66">
    <w:name w:val="纯文本 字符1"/>
    <w:qFormat/>
    <w:uiPriority w:val="0"/>
    <w:rPr>
      <w:rFonts w:ascii="宋体" w:hAnsi="Courier New" w:eastAsia="宋体" w:cs="Courier New"/>
      <w:kern w:val="2"/>
      <w:sz w:val="21"/>
      <w:szCs w:val="21"/>
      <w:lang w:val="en-US" w:eastAsia="zh-CN" w:bidi="ar-SA"/>
    </w:rPr>
  </w:style>
  <w:style w:type="paragraph" w:customStyle="1" w:styleId="67">
    <w:name w:val="修订3"/>
    <w:hidden/>
    <w:unhideWhenUsed/>
    <w:qFormat/>
    <w:uiPriority w:val="99"/>
    <w:pPr>
      <w:spacing w:after="160" w:line="278" w:lineRule="auto"/>
    </w:pPr>
    <w:rPr>
      <w:rFonts w:asciiTheme="minorHAnsi" w:hAnsiTheme="minorHAnsi" w:eastAsiaTheme="minorEastAsia" w:cstheme="minorBidi"/>
      <w:kern w:val="2"/>
      <w:sz w:val="21"/>
      <w:szCs w:val="22"/>
      <w:lang w:val="en-US" w:eastAsia="zh-CN" w:bidi="ar-SA"/>
    </w:rPr>
  </w:style>
  <w:style w:type="paragraph" w:customStyle="1" w:styleId="68">
    <w:name w:val="修订4"/>
    <w:hidden/>
    <w:unhideWhenUsed/>
    <w:qFormat/>
    <w:uiPriority w:val="99"/>
    <w:pPr>
      <w:spacing w:after="160" w:line="278" w:lineRule="auto"/>
    </w:pPr>
    <w:rPr>
      <w:rFonts w:asciiTheme="minorHAnsi" w:hAnsiTheme="minorHAnsi" w:eastAsiaTheme="minorEastAsia" w:cstheme="minorBidi"/>
      <w:kern w:val="2"/>
      <w:sz w:val="21"/>
      <w:szCs w:val="22"/>
      <w:lang w:val="en-US" w:eastAsia="zh-CN" w:bidi="ar-SA"/>
    </w:rPr>
  </w:style>
  <w:style w:type="character" w:customStyle="1" w:styleId="69">
    <w:name w:val="正文文本 字符"/>
    <w:basedOn w:val="12"/>
    <w:link w:val="5"/>
    <w:semiHidden/>
    <w:qFormat/>
    <w:uiPriority w:val="0"/>
    <w:rPr>
      <w:rFonts w:ascii="宋体" w:hAnsi="宋体" w:eastAsia="宋体" w:cs="宋体"/>
      <w:snapToGrid w:val="0"/>
      <w:color w:val="000000"/>
      <w:sz w:val="16"/>
      <w:szCs w:val="16"/>
      <w:lang w:eastAsia="en-US"/>
    </w:rPr>
  </w:style>
  <w:style w:type="paragraph" w:customStyle="1" w:styleId="70">
    <w:name w:val="修订5"/>
    <w:hidden/>
    <w:unhideWhenUsed/>
    <w:qFormat/>
    <w:uiPriority w:val="99"/>
    <w:pPr>
      <w:spacing w:after="160" w:line="278" w:lineRule="auto"/>
    </w:pPr>
    <w:rPr>
      <w:rFonts w:asciiTheme="minorHAnsi" w:hAnsiTheme="minorHAnsi" w:eastAsiaTheme="minorEastAsia" w:cstheme="minorBidi"/>
      <w:kern w:val="2"/>
      <w:sz w:val="21"/>
      <w:szCs w:val="22"/>
      <w:lang w:val="en-US" w:eastAsia="zh-CN" w:bidi="ar-SA"/>
    </w:rPr>
  </w:style>
  <w:style w:type="paragraph" w:customStyle="1" w:styleId="71">
    <w:name w:val="修订6"/>
    <w:hidden/>
    <w:unhideWhenUsed/>
    <w:qFormat/>
    <w:uiPriority w:val="99"/>
    <w:pPr>
      <w:spacing w:after="160" w:line="278" w:lineRule="auto"/>
    </w:pPr>
    <w:rPr>
      <w:rFonts w:asciiTheme="minorHAnsi" w:hAnsiTheme="minorHAnsi" w:eastAsiaTheme="minorEastAsia" w:cstheme="minorBidi"/>
      <w:kern w:val="2"/>
      <w:sz w:val="21"/>
      <w:szCs w:val="22"/>
      <w:lang w:val="en-US" w:eastAsia="zh-CN" w:bidi="ar-SA"/>
    </w:rPr>
  </w:style>
  <w:style w:type="paragraph" w:customStyle="1" w:styleId="72">
    <w:name w:val="修订7"/>
    <w:hidden/>
    <w:unhideWhenUsed/>
    <w:qFormat/>
    <w:uiPriority w:val="99"/>
    <w:pPr>
      <w:spacing w:after="160" w:line="278" w:lineRule="auto"/>
    </w:pPr>
    <w:rPr>
      <w:rFonts w:asciiTheme="minorHAnsi" w:hAnsiTheme="minorHAnsi" w:eastAsiaTheme="minorEastAsia" w:cstheme="minorBidi"/>
      <w:kern w:val="2"/>
      <w:sz w:val="21"/>
      <w:szCs w:val="22"/>
      <w:lang w:val="en-US" w:eastAsia="zh-CN" w:bidi="ar-SA"/>
    </w:rPr>
  </w:style>
  <w:style w:type="paragraph" w:customStyle="1" w:styleId="73">
    <w:name w:val="修订8"/>
    <w:hidden/>
    <w:unhideWhenUsed/>
    <w:qFormat/>
    <w:uiPriority w:val="99"/>
    <w:pPr>
      <w:spacing w:after="160" w:line="278" w:lineRule="auto"/>
    </w:pPr>
    <w:rPr>
      <w:rFonts w:asciiTheme="minorHAnsi" w:hAnsiTheme="minorHAnsi" w:eastAsiaTheme="minorEastAsia" w:cstheme="minorBidi"/>
      <w:kern w:val="2"/>
      <w:sz w:val="21"/>
      <w:szCs w:val="22"/>
      <w:lang w:val="en-US" w:eastAsia="zh-CN" w:bidi="ar-SA"/>
    </w:rPr>
  </w:style>
  <w:style w:type="paragraph" w:customStyle="1" w:styleId="74">
    <w:name w:val="修订9"/>
    <w:hidden/>
    <w:unhideWhenUsed/>
    <w:qFormat/>
    <w:uiPriority w:val="99"/>
    <w:pPr>
      <w:spacing w:after="160" w:line="278" w:lineRule="auto"/>
    </w:pPr>
    <w:rPr>
      <w:rFonts w:asciiTheme="minorHAnsi" w:hAnsiTheme="minorHAnsi" w:eastAsiaTheme="minorEastAsia" w:cstheme="minorBidi"/>
      <w:kern w:val="2"/>
      <w:sz w:val="21"/>
      <w:szCs w:val="22"/>
      <w:lang w:val="en-US" w:eastAsia="zh-CN" w:bidi="ar-SA"/>
    </w:rPr>
  </w:style>
  <w:style w:type="paragraph" w:customStyle="1" w:styleId="75">
    <w:name w:val="修订10"/>
    <w:hidden/>
    <w:unhideWhenUsed/>
    <w:qFormat/>
    <w:uiPriority w:val="99"/>
    <w:pPr>
      <w:spacing w:after="160" w:line="278" w:lineRule="auto"/>
    </w:pPr>
    <w:rPr>
      <w:rFonts w:asciiTheme="minorHAnsi" w:hAnsiTheme="minorHAnsi" w:eastAsiaTheme="minorEastAsia" w:cstheme="minorBidi"/>
      <w:kern w:val="2"/>
      <w:sz w:val="21"/>
      <w:szCs w:val="22"/>
      <w:lang w:val="en-US" w:eastAsia="zh-CN" w:bidi="ar-SA"/>
    </w:rPr>
  </w:style>
  <w:style w:type="character" w:customStyle="1" w:styleId="76">
    <w:name w:val="普通(网站) 字符"/>
    <w:basedOn w:val="12"/>
    <w:link w:val="10"/>
    <w:qFormat/>
    <w:uiPriority w:val="99"/>
    <w:rPr>
      <w:rFonts w:ascii="宋体" w:hAnsi="宋体" w:eastAsia="宋体" w:cs="宋体"/>
      <w:sz w:val="24"/>
      <w:szCs w:val="24"/>
    </w:rPr>
  </w:style>
  <w:style w:type="paragraph" w:customStyle="1" w:styleId="77">
    <w:name w:val="正文1"/>
    <w:basedOn w:val="1"/>
    <w:qFormat/>
    <w:uiPriority w:val="0"/>
    <w:pPr>
      <w:widowControl/>
      <w:overflowPunct w:val="0"/>
      <w:autoSpaceDE w:val="0"/>
      <w:autoSpaceDN w:val="0"/>
      <w:adjustRightInd w:val="0"/>
      <w:textAlignment w:val="baseline"/>
    </w:pPr>
    <w:rPr>
      <w:rFonts w:ascii="宋体"/>
      <w:kern w:val="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451C82-D36E-40A9-8350-AE6E20F3B4C9}">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8</Pages>
  <Words>500</Words>
  <Characters>500</Characters>
  <Lines>255</Lines>
  <Paragraphs>292</Paragraphs>
  <TotalTime>5</TotalTime>
  <ScaleCrop>false</ScaleCrop>
  <LinksUpToDate>false</LinksUpToDate>
  <CharactersWithSpaces>503</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2024-12-20T01:36:00Z</dcterms:created>
  <dc:creator>dreamsummit</dc:creator>
  <cp:lastModifiedBy>龚应晖</cp:lastModifiedBy>
  <cp:lastPrinted>2025-05-30T01:49:41Z</cp:lastPrinted>
  <dcterms:modified xsi:type="dcterms:W3CDTF">2025-05-30T02:01:34Z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E7E762E03A2045D6AD77A2FB1A4B3354_13</vt:lpwstr>
  </property>
  <property fmtid="{D5CDD505-2E9C-101B-9397-08002B2CF9AE}" pid="4" name="KSOTemplateDocerSaveRecord">
    <vt:lpwstr>eyJoZGlkIjoiOTc4YjBlYjRkZDZkOTRmMzJmOTQxOTliMzJmOTYwNzIifQ==</vt:lpwstr>
  </property>
</Properties>
</file>