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rPr>
          <w:rFonts w:hint="eastAsia"/>
          <w:sz w:val="30"/>
          <w:szCs w:val="30"/>
        </w:rPr>
      </w:pPr>
      <w:r>
        <w:rPr>
          <w:rFonts w:hint="eastAsia"/>
          <w:b/>
          <w:bCs/>
          <w:sz w:val="30"/>
          <w:szCs w:val="30"/>
        </w:rPr>
        <w:t>广东省韶关监狱2024-2025年度办公饮用水需求书</w:t>
      </w:r>
    </w:p>
    <w:p>
      <w:pPr>
        <w:pStyle w:val="2"/>
        <w:tabs>
          <w:tab w:val="left" w:pos="1260"/>
          <w:tab w:val="right" w:leader="dot" w:pos="8722"/>
        </w:tabs>
        <w:rPr>
          <w:rFonts w:hint="default" w:ascii="宋体" w:hAnsi="宋体" w:eastAsia="宋体" w:cs="Times New Roman"/>
          <w:b/>
          <w:bCs/>
          <w:caps w:val="0"/>
          <w:kern w:val="2"/>
          <w:sz w:val="21"/>
          <w:szCs w:val="21"/>
          <w:lang w:val="en-US" w:eastAsia="zh-CN" w:bidi="ar-SA"/>
        </w:rPr>
      </w:pPr>
      <w:r>
        <w:rPr>
          <w:rFonts w:hint="eastAsia" w:ascii="宋体" w:hAnsi="宋体" w:eastAsia="宋体" w:cs="Times New Roman"/>
          <w:b/>
          <w:bCs/>
          <w:caps w:val="0"/>
          <w:kern w:val="2"/>
          <w:sz w:val="21"/>
          <w:szCs w:val="21"/>
          <w:lang w:val="en-US" w:eastAsia="zh-CN" w:bidi="ar-SA"/>
        </w:rPr>
        <w:t>采购项目</w:t>
      </w:r>
      <w:r>
        <w:rPr>
          <w:rFonts w:hint="eastAsia" w:ascii="宋体" w:hAnsi="宋体" w:cs="Times New Roman"/>
          <w:b/>
          <w:bCs/>
          <w:caps w:val="0"/>
          <w:kern w:val="2"/>
          <w:sz w:val="21"/>
          <w:szCs w:val="21"/>
          <w:lang w:val="en-US" w:eastAsia="zh-CN" w:bidi="ar-SA"/>
        </w:rPr>
        <w:t>品牌</w:t>
      </w:r>
      <w:r>
        <w:rPr>
          <w:rFonts w:hint="eastAsia" w:ascii="宋体" w:hAnsi="宋体" w:eastAsia="宋体" w:cs="Times New Roman"/>
          <w:b/>
          <w:bCs/>
          <w:caps w:val="0"/>
          <w:kern w:val="2"/>
          <w:sz w:val="21"/>
          <w:szCs w:val="21"/>
          <w:lang w:val="en-US" w:eastAsia="zh-CN" w:bidi="ar-SA"/>
        </w:rPr>
        <w:t>规格修正，以此份为准。请已经寄出竞价文件的供应商重新递交竞价文件。</w:t>
      </w:r>
    </w:p>
    <w:p>
      <w:pPr>
        <w:snapToGrid w:val="0"/>
        <w:spacing w:line="360" w:lineRule="auto"/>
        <w:ind w:left="517" w:hanging="514" w:hangingChars="245"/>
        <w:rPr>
          <w:rFonts w:hint="eastAsia" w:ascii="宋体" w:hAnsi="宋体" w:eastAsia="宋体"/>
          <w:b w:val="0"/>
          <w:bCs w:val="0"/>
          <w:szCs w:val="21"/>
          <w:lang w:val="en-US" w:eastAsia="zh-CN"/>
        </w:rPr>
      </w:pPr>
      <w:r>
        <w:rPr>
          <w:rFonts w:hint="eastAsia" w:ascii="宋体" w:hAnsi="宋体"/>
          <w:b w:val="0"/>
          <w:bCs w:val="0"/>
          <w:szCs w:val="21"/>
        </w:rPr>
        <w:t>说明：</w:t>
      </w:r>
    </w:p>
    <w:p>
      <w:pPr>
        <w:numPr>
          <w:ilvl w:val="0"/>
          <w:numId w:val="0"/>
        </w:numPr>
        <w:snapToGrid w:val="0"/>
        <w:spacing w:line="360" w:lineRule="auto"/>
        <w:ind w:leftChars="0"/>
        <w:rPr>
          <w:rFonts w:ascii="宋体" w:hAnsi="宋体"/>
          <w:b w:val="0"/>
          <w:bCs w:val="0"/>
          <w:szCs w:val="21"/>
        </w:rPr>
      </w:pPr>
      <w:r>
        <w:rPr>
          <w:rFonts w:hint="eastAsia" w:ascii="宋体" w:hAnsi="宋体"/>
          <w:b w:val="0"/>
          <w:bCs w:val="0"/>
          <w:szCs w:val="21"/>
        </w:rPr>
        <w:t xml:space="preserve">响应供应商须对本项目进行整体响应，任何只对其中一部分进行的响应都被视为无效响应。 </w:t>
      </w:r>
    </w:p>
    <w:p>
      <w:pPr>
        <w:numPr>
          <w:ilvl w:val="0"/>
          <w:numId w:val="1"/>
        </w:numPr>
        <w:adjustRightInd w:val="0"/>
        <w:snapToGrid w:val="0"/>
        <w:spacing w:before="156" w:beforeLines="50" w:line="360" w:lineRule="auto"/>
        <w:outlineLvl w:val="2"/>
        <w:rPr>
          <w:rFonts w:hint="eastAsia" w:ascii="宋体" w:hAnsi="宋体"/>
          <w:b w:val="0"/>
          <w:bCs w:val="0"/>
          <w:szCs w:val="21"/>
        </w:rPr>
      </w:pPr>
      <w:r>
        <w:rPr>
          <w:rFonts w:hint="eastAsia" w:ascii="宋体" w:hAnsi="宋体"/>
          <w:b w:val="0"/>
          <w:bCs w:val="0"/>
          <w:szCs w:val="21"/>
          <w:lang w:eastAsia="zh-CN"/>
        </w:rPr>
        <w:t>项目概况</w:t>
      </w:r>
    </w:p>
    <w:p>
      <w:pPr>
        <w:numPr>
          <w:ilvl w:val="0"/>
          <w:numId w:val="2"/>
        </w:numPr>
        <w:adjustRightInd w:val="0"/>
        <w:snapToGrid w:val="0"/>
        <w:spacing w:before="156" w:beforeLines="50" w:line="360" w:lineRule="auto"/>
        <w:outlineLvl w:val="2"/>
        <w:rPr>
          <w:rFonts w:hint="eastAsia" w:ascii="宋体" w:hAnsi="宋体"/>
          <w:b w:val="0"/>
          <w:bCs w:val="0"/>
          <w:szCs w:val="21"/>
          <w:lang w:eastAsia="zh-CN"/>
        </w:rPr>
      </w:pPr>
      <w:r>
        <w:rPr>
          <w:rFonts w:hint="eastAsia" w:ascii="宋体" w:hAnsi="宋体"/>
          <w:b w:val="0"/>
          <w:bCs w:val="0"/>
          <w:szCs w:val="21"/>
          <w:lang w:eastAsia="zh-CN"/>
        </w:rPr>
        <w:t>本项目为广东省韶关监狱（以下统称：采购人）所需的饮用水采购，供应期为一年。</w:t>
      </w:r>
    </w:p>
    <w:p>
      <w:pPr>
        <w:numPr>
          <w:ilvl w:val="0"/>
          <w:numId w:val="2"/>
        </w:numPr>
        <w:adjustRightInd w:val="0"/>
        <w:snapToGrid w:val="0"/>
        <w:spacing w:before="156" w:beforeLines="50" w:line="360" w:lineRule="auto"/>
        <w:outlineLvl w:val="2"/>
        <w:rPr>
          <w:rFonts w:hint="eastAsia" w:ascii="宋体" w:hAnsi="宋体"/>
          <w:b w:val="0"/>
          <w:bCs w:val="0"/>
          <w:szCs w:val="21"/>
        </w:rPr>
      </w:pPr>
      <w:r>
        <w:rPr>
          <w:rFonts w:hint="eastAsia" w:ascii="宋体" w:hAnsi="宋体"/>
          <w:b w:val="0"/>
          <w:bCs w:val="0"/>
          <w:szCs w:val="21"/>
        </w:rPr>
        <w:t>项目一览表</w:t>
      </w:r>
      <w:r>
        <w:rPr>
          <w:rFonts w:hint="eastAsia" w:ascii="宋体" w:hAnsi="宋体"/>
          <w:b w:val="0"/>
          <w:bCs w:val="0"/>
          <w:szCs w:val="21"/>
          <w:lang w:eastAsia="zh-CN"/>
        </w:rPr>
        <w:t>及最高限价</w:t>
      </w:r>
    </w:p>
    <w:tbl>
      <w:tblPr>
        <w:tblStyle w:val="5"/>
        <w:tblW w:w="915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1215"/>
        <w:gridCol w:w="1335"/>
        <w:gridCol w:w="2025"/>
        <w:gridCol w:w="1665"/>
        <w:gridCol w:w="291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58" w:hRule="atLeast"/>
        </w:trPr>
        <w:tc>
          <w:tcPr>
            <w:tcW w:w="1215" w:type="dxa"/>
            <w:shd w:val="clear" w:color="auto" w:fill="EEECE1"/>
            <w:noWrap w:val="0"/>
            <w:vAlign w:val="center"/>
          </w:tcPr>
          <w:p>
            <w:pPr>
              <w:jc w:val="center"/>
              <w:rPr>
                <w:rFonts w:hint="eastAsia" w:ascii="宋体" w:hAnsi="宋体" w:eastAsia="宋体"/>
                <w:b/>
                <w:szCs w:val="21"/>
                <w:lang w:eastAsia="zh-CN"/>
              </w:rPr>
            </w:pPr>
            <w:bookmarkStart w:id="0" w:name="_Toc15391089"/>
            <w:bookmarkStart w:id="1" w:name="_Toc11060657"/>
            <w:bookmarkStart w:id="2" w:name="_Toc11060639"/>
            <w:r>
              <w:rPr>
                <w:rFonts w:hint="eastAsia" w:ascii="宋体" w:hAnsi="宋体"/>
                <w:b/>
                <w:szCs w:val="21"/>
                <w:lang w:eastAsia="zh-CN"/>
              </w:rPr>
              <w:t>序号</w:t>
            </w:r>
          </w:p>
        </w:tc>
        <w:tc>
          <w:tcPr>
            <w:tcW w:w="1335" w:type="dxa"/>
            <w:shd w:val="clear" w:color="auto" w:fill="EEECE1"/>
            <w:noWrap w:val="0"/>
            <w:vAlign w:val="center"/>
          </w:tcPr>
          <w:p>
            <w:pPr>
              <w:jc w:val="center"/>
              <w:rPr>
                <w:rFonts w:hint="default" w:ascii="宋体" w:hAnsi="宋体" w:eastAsia="宋体"/>
                <w:b/>
                <w:szCs w:val="21"/>
                <w:lang w:val="en-US" w:eastAsia="zh-CN"/>
              </w:rPr>
            </w:pPr>
            <w:r>
              <w:rPr>
                <w:rFonts w:hint="eastAsia" w:ascii="宋体" w:hAnsi="宋体"/>
                <w:b/>
                <w:szCs w:val="21"/>
                <w:lang w:eastAsia="zh-CN"/>
              </w:rPr>
              <w:t>品类</w:t>
            </w:r>
          </w:p>
        </w:tc>
        <w:tc>
          <w:tcPr>
            <w:tcW w:w="2025" w:type="dxa"/>
            <w:shd w:val="clear" w:color="auto" w:fill="EEECE1"/>
            <w:noWrap w:val="0"/>
            <w:vAlign w:val="center"/>
          </w:tcPr>
          <w:p>
            <w:pPr>
              <w:jc w:val="center"/>
              <w:rPr>
                <w:rFonts w:hint="eastAsia" w:ascii="宋体" w:hAnsi="宋体" w:eastAsia="宋体"/>
                <w:b/>
                <w:szCs w:val="21"/>
                <w:lang w:eastAsia="zh-CN"/>
              </w:rPr>
            </w:pPr>
            <w:r>
              <w:rPr>
                <w:rFonts w:hint="eastAsia" w:ascii="宋体" w:hAnsi="宋体"/>
                <w:b/>
                <w:szCs w:val="21"/>
                <w:lang w:eastAsia="zh-CN"/>
              </w:rPr>
              <w:t>规格</w:t>
            </w:r>
          </w:p>
        </w:tc>
        <w:tc>
          <w:tcPr>
            <w:tcW w:w="1665" w:type="dxa"/>
            <w:shd w:val="clear" w:color="auto" w:fill="EEECE1"/>
            <w:noWrap w:val="0"/>
            <w:vAlign w:val="center"/>
          </w:tcPr>
          <w:p>
            <w:pPr>
              <w:jc w:val="center"/>
              <w:rPr>
                <w:rFonts w:hint="eastAsia" w:ascii="宋体" w:hAnsi="宋体"/>
                <w:b/>
                <w:szCs w:val="21"/>
                <w:lang w:eastAsia="zh-CN"/>
              </w:rPr>
            </w:pPr>
            <w:r>
              <w:rPr>
                <w:rFonts w:hint="eastAsia" w:ascii="宋体" w:hAnsi="宋体"/>
                <w:b/>
                <w:szCs w:val="21"/>
                <w:lang w:eastAsia="zh-CN"/>
              </w:rPr>
              <w:t>单位</w:t>
            </w:r>
          </w:p>
        </w:tc>
        <w:tc>
          <w:tcPr>
            <w:tcW w:w="2910" w:type="dxa"/>
            <w:shd w:val="clear" w:color="auto" w:fill="EEECE1"/>
            <w:noWrap w:val="0"/>
            <w:vAlign w:val="center"/>
          </w:tcPr>
          <w:p>
            <w:pPr>
              <w:jc w:val="center"/>
              <w:rPr>
                <w:rFonts w:hint="eastAsia" w:ascii="宋体" w:hAnsi="宋体"/>
                <w:b/>
                <w:szCs w:val="21"/>
                <w:lang w:eastAsia="zh-CN"/>
              </w:rPr>
            </w:pPr>
            <w:r>
              <w:rPr>
                <w:rFonts w:hint="eastAsia" w:ascii="宋体" w:hAnsi="宋体"/>
                <w:b/>
                <w:szCs w:val="21"/>
                <w:lang w:eastAsia="zh-CN"/>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87" w:hRule="atLeast"/>
        </w:trPr>
        <w:tc>
          <w:tcPr>
            <w:tcW w:w="1215" w:type="dxa"/>
            <w:noWrap w:val="0"/>
            <w:vAlign w:val="center"/>
          </w:tcPr>
          <w:p>
            <w:pPr>
              <w:jc w:val="center"/>
              <w:rPr>
                <w:rFonts w:hint="eastAsia" w:ascii="宋体" w:hAnsi="宋体" w:eastAsia="宋体"/>
                <w:bCs/>
                <w:szCs w:val="21"/>
                <w:lang w:eastAsia="zh-CN"/>
              </w:rPr>
            </w:pPr>
            <w:r>
              <w:rPr>
                <w:rFonts w:hint="eastAsia" w:ascii="宋体" w:hAnsi="宋体" w:cs="仿宋"/>
                <w:bCs/>
                <w:szCs w:val="21"/>
                <w:lang w:val="en-US" w:eastAsia="zh-CN"/>
              </w:rPr>
              <w:t>1</w:t>
            </w:r>
          </w:p>
        </w:tc>
        <w:tc>
          <w:tcPr>
            <w:tcW w:w="1335"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桶装水</w:t>
            </w:r>
          </w:p>
        </w:tc>
        <w:tc>
          <w:tcPr>
            <w:tcW w:w="2025" w:type="dxa"/>
            <w:noWrap w:val="0"/>
            <w:vAlign w:val="center"/>
          </w:tcPr>
          <w:p>
            <w:pPr>
              <w:jc w:val="center"/>
              <w:rPr>
                <w:rFonts w:hint="default" w:ascii="宋体" w:hAnsi="宋体" w:eastAsia="宋体"/>
                <w:lang w:val="en-US" w:eastAsia="zh-CN"/>
              </w:rPr>
            </w:pPr>
            <w:r>
              <w:rPr>
                <w:rFonts w:hint="eastAsia" w:ascii="宋体" w:hAnsi="宋体"/>
                <w:lang w:val="en-US" w:eastAsia="zh-CN"/>
              </w:rPr>
              <w:t>18L/桶</w:t>
            </w:r>
          </w:p>
        </w:tc>
        <w:tc>
          <w:tcPr>
            <w:tcW w:w="1665" w:type="dxa"/>
            <w:noWrap w:val="0"/>
            <w:vAlign w:val="center"/>
          </w:tcPr>
          <w:p>
            <w:pPr>
              <w:jc w:val="center"/>
              <w:rPr>
                <w:rFonts w:hint="eastAsia" w:ascii="宋体" w:hAnsi="宋体"/>
                <w:lang w:val="en-US" w:eastAsia="zh-CN"/>
              </w:rPr>
            </w:pPr>
            <w:r>
              <w:rPr>
                <w:rFonts w:hint="eastAsia" w:ascii="宋体" w:hAnsi="宋体"/>
                <w:lang w:val="en-US" w:eastAsia="zh-CN"/>
              </w:rPr>
              <w:t>桶</w:t>
            </w:r>
          </w:p>
        </w:tc>
        <w:tc>
          <w:tcPr>
            <w:tcW w:w="2910" w:type="dxa"/>
            <w:noWrap w:val="0"/>
            <w:vAlign w:val="center"/>
          </w:tcPr>
          <w:p>
            <w:pPr>
              <w:jc w:val="center"/>
              <w:rPr>
                <w:rFonts w:hint="default" w:ascii="宋体" w:hAnsi="宋体"/>
                <w:lang w:val="en-US" w:eastAsia="zh-CN"/>
              </w:rPr>
            </w:pPr>
            <w:r>
              <w:rPr>
                <w:rFonts w:hint="eastAsia" w:ascii="宋体" w:hAnsi="宋体"/>
                <w:lang w:val="en-US" w:eastAsia="zh-CN"/>
              </w:rPr>
              <w:t>11.87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87" w:hRule="atLeast"/>
        </w:trPr>
        <w:tc>
          <w:tcPr>
            <w:tcW w:w="1215" w:type="dxa"/>
            <w:noWrap w:val="0"/>
            <w:vAlign w:val="center"/>
          </w:tcPr>
          <w:p>
            <w:pPr>
              <w:jc w:val="center"/>
              <w:rPr>
                <w:rFonts w:hint="eastAsia" w:ascii="宋体" w:hAnsi="宋体" w:eastAsia="宋体" w:cs="仿宋"/>
                <w:bCs/>
                <w:szCs w:val="21"/>
                <w:lang w:val="en-US" w:eastAsia="zh-CN"/>
              </w:rPr>
            </w:pPr>
            <w:r>
              <w:rPr>
                <w:rFonts w:hint="eastAsia" w:ascii="宋体" w:hAnsi="宋体" w:cs="仿宋"/>
                <w:bCs/>
                <w:szCs w:val="21"/>
                <w:lang w:val="en-US" w:eastAsia="zh-CN"/>
              </w:rPr>
              <w:t>2</w:t>
            </w:r>
          </w:p>
        </w:tc>
        <w:tc>
          <w:tcPr>
            <w:tcW w:w="1335"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支装水</w:t>
            </w:r>
          </w:p>
        </w:tc>
        <w:tc>
          <w:tcPr>
            <w:tcW w:w="2025" w:type="dxa"/>
            <w:noWrap w:val="0"/>
            <w:vAlign w:val="center"/>
          </w:tcPr>
          <w:p>
            <w:pPr>
              <w:jc w:val="center"/>
              <w:rPr>
                <w:rFonts w:hint="default" w:ascii="宋体" w:hAnsi="宋体" w:eastAsia="宋体"/>
                <w:lang w:val="en-US" w:eastAsia="zh-CN"/>
              </w:rPr>
            </w:pPr>
            <w:r>
              <w:rPr>
                <w:rFonts w:hint="eastAsia" w:ascii="宋体" w:hAnsi="宋体"/>
                <w:lang w:val="en-US" w:eastAsia="zh-CN"/>
              </w:rPr>
              <w:t>520ml/,24瓶/件</w:t>
            </w:r>
          </w:p>
        </w:tc>
        <w:tc>
          <w:tcPr>
            <w:tcW w:w="1665" w:type="dxa"/>
            <w:noWrap w:val="0"/>
            <w:vAlign w:val="center"/>
          </w:tcPr>
          <w:p>
            <w:pPr>
              <w:jc w:val="center"/>
              <w:rPr>
                <w:rFonts w:hint="eastAsia" w:ascii="宋体" w:hAnsi="宋体"/>
                <w:lang w:val="en-US" w:eastAsia="zh-CN"/>
              </w:rPr>
            </w:pPr>
            <w:r>
              <w:rPr>
                <w:rFonts w:hint="eastAsia" w:ascii="宋体" w:hAnsi="宋体"/>
                <w:lang w:val="en-US" w:eastAsia="zh-CN"/>
              </w:rPr>
              <w:t>件</w:t>
            </w:r>
          </w:p>
        </w:tc>
        <w:tc>
          <w:tcPr>
            <w:tcW w:w="2910" w:type="dxa"/>
            <w:noWrap w:val="0"/>
            <w:vAlign w:val="center"/>
          </w:tcPr>
          <w:p>
            <w:pPr>
              <w:jc w:val="center"/>
              <w:rPr>
                <w:rFonts w:hint="default" w:ascii="宋体" w:hAnsi="宋体"/>
                <w:lang w:val="en-US" w:eastAsia="zh-CN"/>
              </w:rPr>
            </w:pPr>
            <w:r>
              <w:rPr>
                <w:rFonts w:hint="eastAsia" w:ascii="宋体" w:hAnsi="宋体"/>
                <w:lang w:val="en-US" w:eastAsia="zh-CN"/>
              </w:rPr>
              <w:t>38.67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87" w:hRule="atLeast"/>
        </w:trPr>
        <w:tc>
          <w:tcPr>
            <w:tcW w:w="1215" w:type="dxa"/>
            <w:noWrap w:val="0"/>
            <w:vAlign w:val="center"/>
          </w:tcPr>
          <w:p>
            <w:pPr>
              <w:jc w:val="center"/>
              <w:rPr>
                <w:rFonts w:hint="eastAsia" w:ascii="宋体" w:hAnsi="宋体" w:eastAsia="宋体" w:cs="仿宋"/>
                <w:bCs/>
                <w:szCs w:val="21"/>
                <w:lang w:val="en-US" w:eastAsia="zh-CN"/>
              </w:rPr>
            </w:pPr>
            <w:r>
              <w:rPr>
                <w:rFonts w:hint="eastAsia" w:ascii="宋体" w:hAnsi="宋体" w:cs="仿宋"/>
                <w:bCs/>
                <w:szCs w:val="21"/>
                <w:lang w:val="en-US" w:eastAsia="zh-CN"/>
              </w:rPr>
              <w:t>3</w:t>
            </w:r>
          </w:p>
        </w:tc>
        <w:tc>
          <w:tcPr>
            <w:tcW w:w="1335"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支装水</w:t>
            </w:r>
          </w:p>
        </w:tc>
        <w:tc>
          <w:tcPr>
            <w:tcW w:w="2025" w:type="dxa"/>
            <w:noWrap w:val="0"/>
            <w:vAlign w:val="center"/>
          </w:tcPr>
          <w:p>
            <w:pPr>
              <w:jc w:val="center"/>
              <w:rPr>
                <w:rFonts w:hint="eastAsia" w:ascii="宋体" w:hAnsi="宋体" w:eastAsia="宋体"/>
                <w:lang w:eastAsia="zh-CN"/>
              </w:rPr>
            </w:pPr>
            <w:r>
              <w:rPr>
                <w:rFonts w:hint="eastAsia" w:ascii="宋体" w:hAnsi="宋体"/>
                <w:lang w:eastAsia="zh-CN"/>
              </w:rPr>
              <w:t>350ml/瓶，24瓶/件</w:t>
            </w:r>
          </w:p>
        </w:tc>
        <w:tc>
          <w:tcPr>
            <w:tcW w:w="1665" w:type="dxa"/>
            <w:noWrap w:val="0"/>
            <w:vAlign w:val="center"/>
          </w:tcPr>
          <w:p>
            <w:pPr>
              <w:jc w:val="center"/>
              <w:rPr>
                <w:rFonts w:hint="eastAsia" w:ascii="宋体" w:hAnsi="宋体"/>
                <w:lang w:eastAsia="zh-CN"/>
              </w:rPr>
            </w:pPr>
            <w:bookmarkStart w:id="3" w:name="_GoBack"/>
            <w:bookmarkEnd w:id="3"/>
            <w:r>
              <w:rPr>
                <w:rFonts w:hint="eastAsia" w:ascii="宋体" w:hAnsi="宋体"/>
                <w:lang w:eastAsia="zh-CN"/>
              </w:rPr>
              <w:t>件</w:t>
            </w:r>
          </w:p>
        </w:tc>
        <w:tc>
          <w:tcPr>
            <w:tcW w:w="2910" w:type="dxa"/>
            <w:noWrap w:val="0"/>
            <w:vAlign w:val="center"/>
          </w:tcPr>
          <w:p>
            <w:pPr>
              <w:jc w:val="center"/>
              <w:rPr>
                <w:rFonts w:hint="default" w:ascii="宋体" w:hAnsi="宋体"/>
                <w:lang w:val="en-US" w:eastAsia="zh-CN"/>
              </w:rPr>
            </w:pPr>
            <w:r>
              <w:rPr>
                <w:rFonts w:hint="eastAsia" w:ascii="宋体" w:hAnsi="宋体"/>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714" w:hRule="atLeast"/>
        </w:trPr>
        <w:tc>
          <w:tcPr>
            <w:tcW w:w="1215" w:type="dxa"/>
            <w:noWrap w:val="0"/>
            <w:vAlign w:val="center"/>
          </w:tcPr>
          <w:p>
            <w:pPr>
              <w:jc w:val="center"/>
              <w:rPr>
                <w:rFonts w:hint="default" w:ascii="宋体" w:hAnsi="宋体" w:cs="仿宋"/>
                <w:bCs/>
                <w:szCs w:val="21"/>
                <w:lang w:val="en-US" w:eastAsia="zh-CN"/>
              </w:rPr>
            </w:pPr>
            <w:r>
              <w:rPr>
                <w:rFonts w:hint="eastAsia" w:ascii="宋体" w:hAnsi="宋体" w:cs="仿宋"/>
                <w:bCs/>
                <w:szCs w:val="21"/>
                <w:lang w:val="en-US" w:eastAsia="zh-CN"/>
              </w:rPr>
              <w:t>4</w:t>
            </w:r>
          </w:p>
        </w:tc>
        <w:tc>
          <w:tcPr>
            <w:tcW w:w="1335"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压水泵</w:t>
            </w:r>
          </w:p>
        </w:tc>
        <w:tc>
          <w:tcPr>
            <w:tcW w:w="2025" w:type="dxa"/>
            <w:noWrap w:val="0"/>
            <w:vAlign w:val="center"/>
          </w:tcPr>
          <w:p>
            <w:pPr>
              <w:jc w:val="center"/>
              <w:rPr>
                <w:rFonts w:hint="default" w:ascii="宋体" w:hAnsi="宋体" w:eastAsia="宋体"/>
                <w:lang w:val="en-US" w:eastAsia="zh-CN"/>
              </w:rPr>
            </w:pPr>
            <w:r>
              <w:rPr>
                <w:rFonts w:hint="eastAsia" w:ascii="宋体" w:hAnsi="宋体"/>
                <w:lang w:val="en-US" w:eastAsia="zh-CN"/>
              </w:rPr>
              <w:t>塑料、手动</w:t>
            </w:r>
          </w:p>
        </w:tc>
        <w:tc>
          <w:tcPr>
            <w:tcW w:w="1665" w:type="dxa"/>
            <w:noWrap w:val="0"/>
            <w:vAlign w:val="center"/>
          </w:tcPr>
          <w:p>
            <w:pPr>
              <w:jc w:val="center"/>
              <w:rPr>
                <w:rFonts w:hint="eastAsia" w:ascii="宋体" w:hAnsi="宋体"/>
                <w:lang w:val="en-US" w:eastAsia="zh-CN"/>
              </w:rPr>
            </w:pPr>
            <w:r>
              <w:rPr>
                <w:rFonts w:hint="eastAsia" w:ascii="宋体" w:hAnsi="宋体"/>
                <w:lang w:val="en-US" w:eastAsia="zh-CN"/>
              </w:rPr>
              <w:t>个</w:t>
            </w:r>
          </w:p>
        </w:tc>
        <w:tc>
          <w:tcPr>
            <w:tcW w:w="2910" w:type="dxa"/>
            <w:noWrap w:val="0"/>
            <w:vAlign w:val="center"/>
          </w:tcPr>
          <w:p>
            <w:pPr>
              <w:jc w:val="center"/>
              <w:rPr>
                <w:rFonts w:hint="default" w:ascii="宋体" w:hAnsi="宋体"/>
                <w:lang w:val="en-US" w:eastAsia="zh-CN"/>
              </w:rPr>
            </w:pPr>
            <w:r>
              <w:rPr>
                <w:rFonts w:hint="eastAsia" w:ascii="宋体" w:hAnsi="宋体"/>
                <w:lang w:val="en-US" w:eastAsia="zh-CN"/>
              </w:rPr>
              <w:t>5.67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714" w:hRule="atLeast"/>
        </w:trPr>
        <w:tc>
          <w:tcPr>
            <w:tcW w:w="9150" w:type="dxa"/>
            <w:gridSpan w:val="5"/>
            <w:noWrap w:val="0"/>
            <w:vAlign w:val="center"/>
          </w:tcPr>
          <w:p>
            <w:pPr>
              <w:jc w:val="center"/>
              <w:rPr>
                <w:rFonts w:hint="eastAsia" w:ascii="宋体" w:hAnsi="宋体"/>
                <w:lang w:val="en-US" w:eastAsia="zh-CN"/>
              </w:rPr>
            </w:pPr>
            <w:r>
              <w:rPr>
                <w:rFonts w:hint="eastAsia" w:ascii="宋体" w:hAnsi="宋体"/>
                <w:lang w:val="en-US" w:eastAsia="zh-CN"/>
              </w:rPr>
              <w:t>备注：以上限价包括货物价格、运输、装卸、售后服务、保险、搬运费、税金等一切费用。</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line="360" w:lineRule="auto"/>
        <w:ind w:left="0" w:leftChars="0" w:firstLine="0" w:firstLineChars="0"/>
        <w:jc w:val="left"/>
        <w:textAlignment w:val="auto"/>
        <w:outlineLvl w:val="2"/>
        <w:rPr>
          <w:rFonts w:hint="eastAsia" w:ascii="宋体" w:hAnsi="宋体"/>
          <w:b w:val="0"/>
          <w:bCs/>
          <w:szCs w:val="21"/>
          <w:lang w:eastAsia="zh-CN"/>
        </w:rPr>
      </w:pPr>
      <w:r>
        <w:rPr>
          <w:rFonts w:hint="eastAsia" w:ascii="宋体" w:hAnsi="宋体"/>
          <w:b w:val="0"/>
          <w:bCs/>
          <w:szCs w:val="21"/>
          <w:lang w:eastAsia="zh-CN"/>
        </w:rPr>
        <w:t>采购数量：以采购方月实际需求为准。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156" w:beforeLines="50" w:line="360" w:lineRule="auto"/>
        <w:ind w:left="0" w:leftChars="0" w:firstLine="0" w:firstLineChars="0"/>
        <w:jc w:val="left"/>
        <w:textAlignment w:val="auto"/>
        <w:outlineLvl w:val="2"/>
        <w:rPr>
          <w:rFonts w:hint="eastAsia" w:ascii="宋体" w:hAnsi="宋体"/>
          <w:b w:val="0"/>
          <w:bCs/>
          <w:szCs w:val="21"/>
          <w:lang w:eastAsia="zh-CN"/>
        </w:rPr>
      </w:pPr>
      <w:r>
        <w:rPr>
          <w:rFonts w:hint="eastAsia" w:ascii="宋体" w:hAnsi="宋体"/>
          <w:b w:val="0"/>
          <w:bCs/>
          <w:szCs w:val="21"/>
          <w:lang w:eastAsia="zh-CN"/>
        </w:rPr>
        <w:t>采购金额：按合同单价和当月实际供货量为准，按以下公式计算：</w:t>
      </w:r>
    </w:p>
    <w:p>
      <w:pPr>
        <w:pStyle w:val="2"/>
        <w:keepNext w:val="0"/>
        <w:keepLines w:val="0"/>
        <w:pageBreakBefore w:val="0"/>
        <w:widowControl w:val="0"/>
        <w:numPr>
          <w:ilvl w:val="0"/>
          <w:numId w:val="0"/>
        </w:numPr>
        <w:kinsoku/>
        <w:wordWrap/>
        <w:overflowPunct/>
        <w:topLinePunct w:val="0"/>
        <w:autoSpaceDE/>
        <w:autoSpaceDN/>
        <w:bidi w:val="0"/>
        <w:ind w:left="0" w:leftChars="0" w:firstLine="0" w:firstLineChars="0"/>
        <w:jc w:val="left"/>
        <w:textAlignment w:val="auto"/>
        <w:rPr>
          <w:rFonts w:hint="eastAsia" w:ascii="宋体" w:hAnsi="宋体" w:eastAsia="宋体" w:cs="Times New Roman"/>
          <w:b w:val="0"/>
          <w:bCs/>
          <w:caps w:val="0"/>
          <w:kern w:val="2"/>
          <w:sz w:val="21"/>
          <w:szCs w:val="21"/>
          <w:lang w:val="en-US" w:eastAsia="zh-CN" w:bidi="ar-SA"/>
        </w:rPr>
      </w:pPr>
      <w:r>
        <w:rPr>
          <w:rFonts w:hint="eastAsia" w:ascii="宋体" w:hAnsi="宋体" w:eastAsia="宋体" w:cs="Times New Roman"/>
          <w:b w:val="0"/>
          <w:bCs/>
          <w:caps w:val="0"/>
          <w:kern w:val="2"/>
          <w:sz w:val="21"/>
          <w:szCs w:val="21"/>
          <w:lang w:val="en-US" w:eastAsia="zh-CN" w:bidi="ar-SA"/>
        </w:rPr>
        <w:t>当月供货金额=∑（当月实际供货量</w:t>
      </w:r>
      <w:r>
        <w:rPr>
          <w:rFonts w:hint="default" w:ascii="宋体" w:hAnsi="宋体" w:eastAsia="宋体" w:cs="Times New Roman"/>
          <w:b w:val="0"/>
          <w:bCs/>
          <w:caps w:val="0"/>
          <w:kern w:val="2"/>
          <w:sz w:val="21"/>
          <w:szCs w:val="21"/>
          <w:lang w:val="en-US" w:eastAsia="zh-CN" w:bidi="ar-SA"/>
        </w:rPr>
        <w:t>×</w:t>
      </w:r>
      <w:r>
        <w:rPr>
          <w:rFonts w:hint="eastAsia" w:ascii="宋体" w:hAnsi="宋体" w:eastAsia="宋体" w:cs="Times New Roman"/>
          <w:b w:val="0"/>
          <w:bCs/>
          <w:caps w:val="0"/>
          <w:kern w:val="2"/>
          <w:sz w:val="21"/>
          <w:szCs w:val="21"/>
          <w:lang w:val="en-US" w:eastAsia="zh-CN" w:bidi="ar-SA"/>
        </w:rPr>
        <w:t>相应品种的合同单价）</w:t>
      </w:r>
    </w:p>
    <w:p>
      <w:pPr>
        <w:rPr>
          <w:rFonts w:hint="default"/>
          <w:lang w:val="en-US" w:eastAsia="zh-CN"/>
        </w:rPr>
      </w:pPr>
      <w:r>
        <w:rPr>
          <w:rFonts w:hint="eastAsia" w:ascii="宋体" w:hAnsi="宋体" w:cs="Times New Roman"/>
          <w:b w:val="0"/>
          <w:bCs/>
          <w:caps w:val="0"/>
          <w:kern w:val="2"/>
          <w:sz w:val="21"/>
          <w:szCs w:val="21"/>
          <w:lang w:val="en-US" w:eastAsia="zh-CN" w:bidi="ar-SA"/>
        </w:rPr>
        <w:t>（五）品牌：韶州印象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60" w:lineRule="auto"/>
        <w:ind w:left="0" w:leftChars="0" w:firstLine="0" w:firstLineChars="0"/>
        <w:jc w:val="left"/>
        <w:textAlignment w:val="auto"/>
        <w:outlineLvl w:val="2"/>
        <w:rPr>
          <w:rFonts w:ascii="宋体" w:hAnsi="宋体"/>
          <w:b w:val="0"/>
          <w:bCs/>
          <w:szCs w:val="21"/>
        </w:rPr>
      </w:pPr>
      <w:r>
        <w:rPr>
          <w:rFonts w:hint="eastAsia" w:ascii="宋体" w:hAnsi="宋体"/>
          <w:b w:val="0"/>
          <w:bCs/>
          <w:szCs w:val="21"/>
          <w:lang w:eastAsia="zh-CN"/>
        </w:rPr>
        <w:t>二、</w:t>
      </w:r>
      <w:r>
        <w:rPr>
          <w:rFonts w:hint="eastAsia" w:ascii="宋体" w:hAnsi="宋体"/>
          <w:b w:val="0"/>
          <w:bCs/>
          <w:szCs w:val="21"/>
        </w:rPr>
        <w:t>采购要求</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(一)成交供应商必须提供正规、合格的约定品牌桶装水,包装完好,标注明确的生产日期,配送到</w:t>
      </w:r>
      <w:r>
        <w:rPr>
          <w:rFonts w:hint="eastAsia" w:ascii="宋体" w:hAnsi="宋体"/>
          <w:szCs w:val="21"/>
          <w:lang w:eastAsia="zh-CN"/>
        </w:rPr>
        <w:t>采购方</w:t>
      </w:r>
      <w:r>
        <w:rPr>
          <w:rFonts w:hint="eastAsia" w:ascii="宋体" w:hAnsi="宋体"/>
          <w:szCs w:val="21"/>
        </w:rPr>
        <w:t>的桶装水剩余保质期不少于保质期的三分之二。</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(二)保证所送水质应符合国家规定的《生活饮用水卫生标准（GB19298-2014）》,是经国家质检部门检验合格的桶装水。</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(三)每季度向</w:t>
      </w:r>
      <w:r>
        <w:rPr>
          <w:rFonts w:hint="eastAsia" w:ascii="宋体" w:hAnsi="宋体"/>
          <w:szCs w:val="21"/>
          <w:lang w:eastAsia="zh-CN"/>
        </w:rPr>
        <w:t>采购方</w:t>
      </w:r>
      <w:r>
        <w:rPr>
          <w:rFonts w:hint="eastAsia" w:ascii="宋体" w:hAnsi="宋体"/>
          <w:szCs w:val="21"/>
        </w:rPr>
        <w:t>提供专业检测机构提供的水质检测报告。</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三、配送要求</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(一)行政办公区设置送水供应点,正常工作时间,接到各部门送水通知后, 1小时内将桶装水送达各办公区指定地点。</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（二)监管区内送水时间固定为每周两次(每周二、四上午),将一周的用水量送到狱内指定地点,大约40个送水点,具体配送时间应严格遵守监狱相关管理规定。</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(三)</w:t>
      </w:r>
      <w:r>
        <w:rPr>
          <w:rFonts w:hint="eastAsia" w:ascii="宋体" w:hAnsi="宋体"/>
          <w:szCs w:val="21"/>
          <w:lang w:eastAsia="zh-CN"/>
        </w:rPr>
        <w:t>成交供应商</w:t>
      </w:r>
      <w:r>
        <w:rPr>
          <w:rFonts w:hint="eastAsia" w:ascii="宋体" w:hAnsi="宋体"/>
          <w:szCs w:val="21"/>
        </w:rPr>
        <w:t>的配送工作人员应服从管理,听从指挥,严格遵守监狱相关管理规定,严禁私自与罪犯接触。必须加强劳动保护,在工作过程中如发生意外人身伤亡事故,由</w:t>
      </w:r>
      <w:r>
        <w:rPr>
          <w:rFonts w:hint="eastAsia" w:ascii="宋体" w:hAnsi="宋体"/>
          <w:szCs w:val="21"/>
          <w:lang w:eastAsia="zh-CN"/>
        </w:rPr>
        <w:t>成交供应商</w:t>
      </w:r>
      <w:r>
        <w:rPr>
          <w:rFonts w:hint="eastAsia" w:ascii="宋体" w:hAnsi="宋体"/>
          <w:szCs w:val="21"/>
        </w:rPr>
        <w:t>自行处理,</w:t>
      </w:r>
      <w:r>
        <w:rPr>
          <w:rFonts w:hint="eastAsia" w:ascii="宋体" w:hAnsi="宋体"/>
          <w:szCs w:val="21"/>
          <w:lang w:eastAsia="zh-CN"/>
        </w:rPr>
        <w:t>采购方</w:t>
      </w:r>
      <w:r>
        <w:rPr>
          <w:rFonts w:hint="eastAsia" w:ascii="宋体" w:hAnsi="宋体"/>
          <w:szCs w:val="21"/>
        </w:rPr>
        <w:t>概不负责。</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0" w:firstLineChars="0"/>
        <w:jc w:val="left"/>
        <w:textAlignment w:val="auto"/>
        <w:rPr>
          <w:rFonts w:ascii="宋体" w:hAnsi="宋体"/>
          <w:szCs w:val="21"/>
        </w:rPr>
      </w:pPr>
      <w:r>
        <w:rPr>
          <w:rFonts w:hint="eastAsia" w:ascii="宋体" w:hAnsi="宋体"/>
          <w:szCs w:val="21"/>
          <w:lang w:eastAsia="zh-CN"/>
        </w:rPr>
        <w:t>（四）</w:t>
      </w:r>
      <w:r>
        <w:rPr>
          <w:rFonts w:hint="eastAsia" w:ascii="宋体" w:hAnsi="宋体"/>
          <w:szCs w:val="21"/>
        </w:rPr>
        <w:t>成交供应商负责将桶装水送到现场过程中的全部运输，包括装卸车、货物现场的搬运；成交供应商需安排专人负责送水工作，送水人员必须根据需求方的要求，将桶装水送至各区域、各楼层、各办公室的指定地点。</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ascii="Times New Roman" w:hAnsi="Times New Roman"/>
          <w:szCs w:val="21"/>
        </w:rPr>
      </w:pPr>
      <w:r>
        <w:rPr>
          <w:rFonts w:hint="eastAsia" w:ascii="宋体" w:hAnsi="宋体"/>
          <w:szCs w:val="21"/>
          <w:lang w:eastAsia="zh-CN"/>
        </w:rPr>
        <w:t>（五）</w:t>
      </w:r>
      <w:r>
        <w:rPr>
          <w:rFonts w:hint="eastAsia" w:ascii="宋体" w:hAnsi="宋体"/>
          <w:szCs w:val="21"/>
        </w:rPr>
        <w:t>如果成交供应商提供的饮用水出现质量问题，则必须马上停止供应该品牌饮用水，若一经查实确为水质量问题，采购人有权终止合同，并保留依法追求其责任的权利，如因产品质量所造成的损失全部由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60" w:lineRule="auto"/>
        <w:ind w:leftChars="0"/>
        <w:jc w:val="both"/>
        <w:textAlignment w:val="auto"/>
        <w:outlineLvl w:val="2"/>
        <w:rPr>
          <w:rFonts w:ascii="宋体" w:hAnsi="宋体"/>
          <w:b/>
          <w:bCs/>
          <w:szCs w:val="21"/>
        </w:rPr>
      </w:pPr>
      <w:r>
        <w:rPr>
          <w:rFonts w:hint="eastAsia" w:ascii="宋体" w:hAnsi="宋体"/>
          <w:b/>
          <w:bCs/>
          <w:szCs w:val="21"/>
          <w:lang w:eastAsia="zh-CN"/>
        </w:rPr>
        <w:t>二、</w:t>
      </w:r>
      <w:r>
        <w:rPr>
          <w:rFonts w:hint="eastAsia" w:ascii="宋体" w:hAnsi="宋体"/>
          <w:b/>
          <w:bCs/>
          <w:szCs w:val="21"/>
        </w:rPr>
        <w:t>报价要求</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ascii="宋体" w:hAnsi="宋体"/>
          <w:szCs w:val="21"/>
        </w:rPr>
      </w:pPr>
      <w:r>
        <w:rPr>
          <w:rFonts w:hint="eastAsia" w:ascii="宋体" w:hAnsi="宋体"/>
          <w:szCs w:val="21"/>
        </w:rPr>
        <w:t>项目报价采用</w:t>
      </w:r>
      <w:r>
        <w:rPr>
          <w:rFonts w:hint="eastAsia" w:ascii="宋体" w:hAnsi="宋体"/>
          <w:szCs w:val="21"/>
          <w:lang w:eastAsia="zh-CN"/>
        </w:rPr>
        <w:t>饮用水</w:t>
      </w:r>
      <w:r>
        <w:rPr>
          <w:rFonts w:hint="eastAsia" w:ascii="宋体" w:hAnsi="宋体"/>
          <w:szCs w:val="21"/>
        </w:rPr>
        <w:t>单价的报价的方式（报价包税费、运送费、人工费等费用）</w:t>
      </w:r>
      <w:r>
        <w:rPr>
          <w:rFonts w:hint="eastAsia" w:ascii="宋体" w:hAnsi="宋体"/>
          <w:b/>
          <w:bCs/>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60" w:lineRule="auto"/>
        <w:ind w:leftChars="0"/>
        <w:jc w:val="left"/>
        <w:textAlignment w:val="auto"/>
        <w:outlineLvl w:val="2"/>
        <w:rPr>
          <w:rFonts w:ascii="宋体" w:hAnsi="宋体"/>
          <w:b/>
          <w:bCs/>
          <w:szCs w:val="21"/>
        </w:rPr>
      </w:pPr>
      <w:r>
        <w:rPr>
          <w:rFonts w:hint="eastAsia" w:ascii="宋体" w:hAnsi="宋体"/>
          <w:b/>
          <w:bCs/>
          <w:szCs w:val="21"/>
          <w:lang w:eastAsia="zh-CN"/>
        </w:rPr>
        <w:t>三、</w:t>
      </w:r>
      <w:r>
        <w:rPr>
          <w:rFonts w:hint="eastAsia" w:ascii="宋体" w:hAnsi="宋体"/>
          <w:b/>
          <w:bCs/>
          <w:szCs w:val="21"/>
        </w:rPr>
        <w:t>购置费用预算</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月-202</w:t>
      </w:r>
      <w:r>
        <w:rPr>
          <w:rFonts w:hint="eastAsia" w:ascii="宋体" w:hAnsi="宋体"/>
          <w:szCs w:val="21"/>
          <w:lang w:val="en-US" w:eastAsia="zh-CN"/>
        </w:rPr>
        <w:t>5</w:t>
      </w:r>
      <w:r>
        <w:rPr>
          <w:rFonts w:hint="eastAsia" w:ascii="宋体" w:hAnsi="宋体"/>
          <w:szCs w:val="21"/>
        </w:rPr>
        <w:t>年9月饮用桶装水采购年预算经费约</w:t>
      </w:r>
      <w:r>
        <w:rPr>
          <w:rFonts w:hint="eastAsia" w:ascii="宋体" w:hAnsi="宋体"/>
          <w:szCs w:val="21"/>
          <w:lang w:val="en-US" w:eastAsia="zh-CN"/>
        </w:rPr>
        <w:t>19</w:t>
      </w:r>
      <w:r>
        <w:rPr>
          <w:rFonts w:hint="eastAsia" w:ascii="宋体" w:hAnsi="宋体"/>
          <w:szCs w:val="21"/>
        </w:rPr>
        <w:t>0000元，具体采购人根据实际饮用情况按需采购，按月据实结算。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60" w:lineRule="auto"/>
        <w:ind w:leftChars="0"/>
        <w:jc w:val="left"/>
        <w:textAlignment w:val="auto"/>
        <w:outlineLvl w:val="2"/>
        <w:rPr>
          <w:rFonts w:ascii="宋体" w:hAnsi="宋体"/>
          <w:b/>
          <w:bCs/>
          <w:szCs w:val="21"/>
        </w:rPr>
      </w:pPr>
      <w:r>
        <w:rPr>
          <w:rFonts w:hint="eastAsia" w:ascii="宋体" w:hAnsi="宋体"/>
          <w:lang w:eastAsia="zh-CN"/>
        </w:rPr>
        <w:t>四、</w:t>
      </w:r>
      <w:r>
        <w:rPr>
          <w:rFonts w:hint="eastAsia" w:ascii="宋体" w:hAnsi="宋体"/>
        </w:rPr>
        <w:t>服务期限</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ascii="宋体" w:hAnsi="宋体"/>
          <w:szCs w:val="21"/>
        </w:rPr>
      </w:pPr>
      <w:r>
        <w:rPr>
          <w:rFonts w:hint="eastAsia" w:ascii="宋体" w:hAnsi="宋体"/>
          <w:szCs w:val="21"/>
        </w:rPr>
        <w:t>自合同签订之日起1年，实际采购金额满1</w:t>
      </w:r>
      <w:r>
        <w:rPr>
          <w:rFonts w:hint="eastAsia" w:ascii="宋体" w:hAnsi="宋体"/>
          <w:szCs w:val="21"/>
          <w:lang w:val="en-US" w:eastAsia="zh-CN"/>
        </w:rPr>
        <w:t>9</w:t>
      </w:r>
      <w:r>
        <w:rPr>
          <w:rFonts w:hint="eastAsia" w:ascii="宋体" w:hAnsi="宋体"/>
          <w:szCs w:val="21"/>
        </w:rPr>
        <w:t>0000元视同合同到期。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60" w:lineRule="auto"/>
        <w:ind w:leftChars="0"/>
        <w:jc w:val="left"/>
        <w:textAlignment w:val="auto"/>
        <w:outlineLvl w:val="2"/>
        <w:rPr>
          <w:rFonts w:ascii="宋体" w:hAnsi="宋体"/>
          <w:b w:val="0"/>
          <w:bCs w:val="0"/>
          <w:szCs w:val="21"/>
        </w:rPr>
      </w:pPr>
      <w:r>
        <w:rPr>
          <w:rFonts w:hint="eastAsia" w:ascii="宋体" w:hAnsi="宋体"/>
          <w:b w:val="0"/>
          <w:bCs w:val="0"/>
          <w:szCs w:val="21"/>
          <w:lang w:eastAsia="zh-CN"/>
        </w:rPr>
        <w:t>五、</w:t>
      </w:r>
      <w:r>
        <w:rPr>
          <w:rFonts w:hint="eastAsia" w:ascii="宋体" w:hAnsi="宋体"/>
          <w:b w:val="0"/>
          <w:bCs w:val="0"/>
          <w:szCs w:val="21"/>
        </w:rPr>
        <w:t>付款方式</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(一)</w:t>
      </w:r>
      <w:r>
        <w:rPr>
          <w:rFonts w:hint="eastAsia" w:ascii="宋体" w:hAnsi="宋体"/>
          <w:szCs w:val="21"/>
          <w:lang w:eastAsia="zh-CN"/>
        </w:rPr>
        <w:t>成交供应商</w:t>
      </w:r>
      <w:r>
        <w:rPr>
          <w:rFonts w:hint="eastAsia" w:ascii="宋体" w:hAnsi="宋体"/>
          <w:szCs w:val="21"/>
        </w:rPr>
        <w:t>与</w:t>
      </w:r>
      <w:r>
        <w:rPr>
          <w:rFonts w:hint="eastAsia" w:ascii="宋体" w:hAnsi="宋体"/>
          <w:szCs w:val="21"/>
          <w:lang w:eastAsia="zh-CN"/>
        </w:rPr>
        <w:t>采购人</w:t>
      </w:r>
      <w:r>
        <w:rPr>
          <w:rFonts w:hint="eastAsia" w:ascii="宋体" w:hAnsi="宋体"/>
          <w:szCs w:val="21"/>
        </w:rPr>
        <w:t>各单位的人员对送水的数量质量进行现场清点和签名确认,并及时做好统计。</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(二)每月一结,按实际用水量进行结算,每月5日前,将上月各部门送水情况的统计表、确认单复印件和发票等材料交到警务保障中心,进行财务报账。</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szCs w:val="21"/>
        </w:rPr>
      </w:pPr>
      <w:r>
        <w:rPr>
          <w:rFonts w:hint="eastAsia" w:ascii="宋体" w:hAnsi="宋体"/>
          <w:szCs w:val="21"/>
        </w:rPr>
        <w:t>(三)合同期内价格不作调整。</w:t>
      </w:r>
    </w:p>
    <w:p>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ascii="宋体" w:hAnsi="宋体"/>
          <w:b/>
          <w:bCs/>
          <w:szCs w:val="21"/>
        </w:rPr>
      </w:pPr>
      <w:r>
        <w:rPr>
          <w:rFonts w:hint="eastAsia" w:ascii="宋体" w:hAnsi="宋体"/>
          <w:szCs w:val="21"/>
        </w:rPr>
        <w:t>(四)</w:t>
      </w:r>
      <w:r>
        <w:rPr>
          <w:rFonts w:hint="eastAsia" w:ascii="宋体" w:hAnsi="宋体"/>
          <w:szCs w:val="21"/>
          <w:lang w:eastAsia="zh-CN"/>
        </w:rPr>
        <w:t>成交供应商</w:t>
      </w:r>
      <w:r>
        <w:rPr>
          <w:rFonts w:hint="eastAsia" w:ascii="宋体" w:hAnsi="宋体"/>
          <w:szCs w:val="21"/>
        </w:rPr>
        <w:t>给</w:t>
      </w:r>
      <w:r>
        <w:rPr>
          <w:rFonts w:hint="eastAsia" w:ascii="宋体" w:hAnsi="宋体"/>
          <w:szCs w:val="21"/>
          <w:lang w:eastAsia="zh-CN"/>
        </w:rPr>
        <w:t>采购人</w:t>
      </w:r>
      <w:r>
        <w:rPr>
          <w:rFonts w:hint="eastAsia" w:ascii="宋体" w:hAnsi="宋体"/>
          <w:szCs w:val="21"/>
        </w:rPr>
        <w:t>送水一个月后,</w:t>
      </w:r>
      <w:r>
        <w:rPr>
          <w:rFonts w:hint="eastAsia" w:ascii="宋体" w:hAnsi="宋体"/>
          <w:szCs w:val="21"/>
          <w:lang w:eastAsia="zh-CN"/>
        </w:rPr>
        <w:t>成交供应商</w:t>
      </w:r>
      <w:r>
        <w:rPr>
          <w:rFonts w:hint="eastAsia" w:ascii="宋体" w:hAnsi="宋体"/>
          <w:szCs w:val="21"/>
        </w:rPr>
        <w:t>根据</w:t>
      </w:r>
      <w:r>
        <w:rPr>
          <w:rFonts w:hint="eastAsia" w:ascii="宋体" w:hAnsi="宋体"/>
          <w:szCs w:val="21"/>
          <w:lang w:eastAsia="zh-CN"/>
        </w:rPr>
        <w:t>采购人</w:t>
      </w:r>
      <w:r>
        <w:rPr>
          <w:rFonts w:hint="eastAsia" w:ascii="宋体" w:hAnsi="宋体"/>
          <w:szCs w:val="21"/>
        </w:rPr>
        <w:t>使用的周转水桶实际数量的10%计算水桶数,并出具清单。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line="360" w:lineRule="auto"/>
        <w:ind w:leftChars="0"/>
        <w:jc w:val="left"/>
        <w:textAlignment w:val="auto"/>
        <w:outlineLvl w:val="2"/>
        <w:rPr>
          <w:rFonts w:hint="eastAsia" w:ascii="宋体" w:hAnsi="宋体"/>
          <w:b w:val="0"/>
          <w:bCs w:val="0"/>
          <w:szCs w:val="21"/>
        </w:rPr>
      </w:pPr>
      <w:r>
        <w:rPr>
          <w:rFonts w:hint="eastAsia" w:ascii="宋体" w:hAnsi="宋体"/>
          <w:b w:val="0"/>
          <w:bCs w:val="0"/>
          <w:szCs w:val="21"/>
          <w:lang w:eastAsia="zh-CN"/>
        </w:rPr>
        <w:t>六、</w:t>
      </w:r>
      <w:r>
        <w:rPr>
          <w:rFonts w:hint="eastAsia" w:ascii="宋体" w:hAnsi="宋体"/>
          <w:b w:val="0"/>
          <w:bCs w:val="0"/>
          <w:szCs w:val="21"/>
        </w:rPr>
        <w:t>外来人员进出监管区需知</w:t>
      </w:r>
    </w:p>
    <w:p>
      <w:pPr>
        <w:pStyle w:val="2"/>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宋体" w:hAnsi="宋体" w:cs="宋体"/>
          <w:b w:val="0"/>
          <w:sz w:val="21"/>
        </w:rPr>
      </w:pPr>
      <w:r>
        <w:rPr>
          <w:rFonts w:ascii="宋体" w:hAnsi="宋体" w:cs="宋体"/>
          <w:b w:val="0"/>
          <w:sz w:val="21"/>
        </w:rPr>
        <w:t>由于监狱工作的特殊性，</w:t>
      </w:r>
      <w:r>
        <w:rPr>
          <w:rFonts w:hint="eastAsia" w:ascii="宋体" w:hAnsi="宋体" w:cs="宋体"/>
          <w:b w:val="0"/>
          <w:sz w:val="21"/>
        </w:rPr>
        <w:t>成交供应商</w:t>
      </w:r>
      <w:r>
        <w:rPr>
          <w:rFonts w:ascii="宋体" w:hAnsi="宋体" w:cs="宋体"/>
          <w:b w:val="0"/>
          <w:sz w:val="21"/>
        </w:rPr>
        <w:t>应认真教育本单位工作人员严格遵守监狱的相关管理规定。</w:t>
      </w:r>
    </w:p>
    <w:p>
      <w:pPr>
        <w:pStyle w:val="2"/>
        <w:keepNext w:val="0"/>
        <w:keepLines w:val="0"/>
        <w:pageBreakBefore w:val="0"/>
        <w:widowControl w:val="0"/>
        <w:kinsoku/>
        <w:wordWrap/>
        <w:overflowPunct/>
        <w:topLinePunct w:val="0"/>
        <w:autoSpaceDE/>
        <w:autoSpaceDN/>
        <w:bidi w:val="0"/>
        <w:spacing w:line="360" w:lineRule="auto"/>
        <w:ind w:left="420" w:leftChars="0" w:firstLine="0" w:firstLineChars="0"/>
        <w:jc w:val="left"/>
        <w:textAlignment w:val="auto"/>
        <w:rPr>
          <w:rFonts w:hint="eastAsia" w:ascii="宋体" w:hAnsi="宋体" w:cs="宋体"/>
          <w:b w:val="0"/>
          <w:sz w:val="21"/>
        </w:rPr>
      </w:pPr>
      <w:r>
        <w:rPr>
          <w:rFonts w:ascii="宋体" w:hAnsi="宋体" w:cs="宋体"/>
          <w:b w:val="0"/>
          <w:sz w:val="21"/>
        </w:rPr>
        <w:t>（一）外来人员必须遵守法律法规，不得假借监狱名义从事有损监狱形象的行为。</w:t>
      </w:r>
    </w:p>
    <w:p>
      <w:pPr>
        <w:pStyle w:val="2"/>
        <w:keepNext w:val="0"/>
        <w:keepLines w:val="0"/>
        <w:pageBreakBefore w:val="0"/>
        <w:widowControl w:val="0"/>
        <w:kinsoku/>
        <w:wordWrap/>
        <w:overflowPunct/>
        <w:topLinePunct w:val="0"/>
        <w:autoSpaceDE/>
        <w:autoSpaceDN/>
        <w:bidi w:val="0"/>
        <w:spacing w:line="360" w:lineRule="auto"/>
        <w:ind w:left="420" w:leftChars="0" w:firstLine="0" w:firstLineChars="0"/>
        <w:jc w:val="left"/>
        <w:textAlignment w:val="auto"/>
        <w:rPr>
          <w:rFonts w:hint="eastAsia" w:ascii="宋体" w:hAnsi="宋体" w:cs="宋体"/>
          <w:b w:val="0"/>
          <w:sz w:val="21"/>
        </w:rPr>
      </w:pPr>
      <w:r>
        <w:rPr>
          <w:rFonts w:ascii="宋体" w:hAnsi="宋体" w:cs="宋体"/>
          <w:b w:val="0"/>
          <w:sz w:val="21"/>
        </w:rPr>
        <w:t>（二）外来人员进入监管区应提高警惕，注意人身安全保护，加强自我防范意识；自觉与罪犯划清界</w:t>
      </w:r>
    </w:p>
    <w:p>
      <w:pPr>
        <w:pStyle w:val="2"/>
        <w:keepNext w:val="0"/>
        <w:keepLines w:val="0"/>
        <w:pageBreakBefore w:val="0"/>
        <w:widowControl w:val="0"/>
        <w:kinsoku/>
        <w:wordWrap/>
        <w:overflowPunct/>
        <w:topLinePunct w:val="0"/>
        <w:autoSpaceDE/>
        <w:autoSpaceDN/>
        <w:bidi w:val="0"/>
        <w:spacing w:line="360" w:lineRule="auto"/>
        <w:ind w:left="525" w:leftChars="0" w:firstLine="0" w:firstLineChars="0"/>
        <w:jc w:val="left"/>
        <w:textAlignment w:val="auto"/>
        <w:rPr>
          <w:rFonts w:hint="eastAsia" w:ascii="宋体" w:hAnsi="宋体" w:cs="宋体"/>
          <w:b w:val="0"/>
          <w:sz w:val="21"/>
        </w:rPr>
      </w:pPr>
      <w:r>
        <w:rPr>
          <w:rFonts w:ascii="宋体" w:hAnsi="宋体" w:cs="宋体"/>
          <w:b w:val="0"/>
          <w:sz w:val="21"/>
        </w:rPr>
        <w:t>线，防止被罪犯利用。</w:t>
      </w:r>
    </w:p>
    <w:p>
      <w:pPr>
        <w:pStyle w:val="2"/>
        <w:keepNext w:val="0"/>
        <w:keepLines w:val="0"/>
        <w:pageBreakBefore w:val="0"/>
        <w:widowControl w:val="0"/>
        <w:kinsoku/>
        <w:wordWrap/>
        <w:overflowPunct/>
        <w:topLinePunct w:val="0"/>
        <w:autoSpaceDE/>
        <w:autoSpaceDN/>
        <w:bidi w:val="0"/>
        <w:spacing w:line="360" w:lineRule="auto"/>
        <w:ind w:left="420" w:leftChars="0" w:firstLine="0" w:firstLineChars="0"/>
        <w:jc w:val="left"/>
        <w:textAlignment w:val="auto"/>
        <w:rPr>
          <w:rFonts w:hint="eastAsia" w:ascii="宋体" w:hAnsi="宋体" w:cs="宋体"/>
          <w:b w:val="0"/>
          <w:sz w:val="21"/>
        </w:rPr>
      </w:pPr>
      <w:r>
        <w:rPr>
          <w:rFonts w:ascii="宋体" w:hAnsi="宋体" w:cs="宋体"/>
          <w:b w:val="0"/>
          <w:sz w:val="21"/>
        </w:rPr>
        <w:t>（三）外来人员进入监管区必须衣着整齐，举止文明；女士不得衣着暴露。</w:t>
      </w:r>
    </w:p>
    <w:p>
      <w:pPr>
        <w:pStyle w:val="2"/>
        <w:keepNext w:val="0"/>
        <w:keepLines w:val="0"/>
        <w:pageBreakBefore w:val="0"/>
        <w:widowControl w:val="0"/>
        <w:kinsoku/>
        <w:wordWrap/>
        <w:overflowPunct/>
        <w:topLinePunct w:val="0"/>
        <w:autoSpaceDE/>
        <w:autoSpaceDN/>
        <w:bidi w:val="0"/>
        <w:spacing w:line="360" w:lineRule="auto"/>
        <w:ind w:left="420" w:leftChars="0" w:firstLine="0" w:firstLineChars="0"/>
        <w:jc w:val="left"/>
        <w:textAlignment w:val="auto"/>
        <w:rPr>
          <w:rFonts w:hint="eastAsia" w:ascii="宋体" w:hAnsi="宋体" w:cs="宋体"/>
          <w:b w:val="0"/>
          <w:sz w:val="21"/>
        </w:rPr>
      </w:pPr>
      <w:r>
        <w:rPr>
          <w:rFonts w:ascii="宋体" w:hAnsi="宋体" w:cs="宋体"/>
          <w:b w:val="0"/>
          <w:sz w:val="21"/>
        </w:rPr>
        <w:t>（四）凡需进入监管区的外来人员必须由合作方开具委派证明和身份证明原件，向狱方提出申请，经</w:t>
      </w:r>
    </w:p>
    <w:p>
      <w:pPr>
        <w:pStyle w:val="2"/>
        <w:keepNext w:val="0"/>
        <w:keepLines w:val="0"/>
        <w:pageBreakBefore w:val="0"/>
        <w:widowControl w:val="0"/>
        <w:kinsoku/>
        <w:wordWrap/>
        <w:overflowPunct/>
        <w:topLinePunct w:val="0"/>
        <w:autoSpaceDE/>
        <w:autoSpaceDN/>
        <w:bidi w:val="0"/>
        <w:spacing w:line="360" w:lineRule="auto"/>
        <w:ind w:left="420" w:leftChars="0" w:firstLine="0" w:firstLineChars="0"/>
        <w:jc w:val="left"/>
        <w:textAlignment w:val="auto"/>
        <w:rPr>
          <w:rFonts w:hint="eastAsia" w:ascii="宋体" w:hAnsi="宋体" w:cs="宋体"/>
          <w:b w:val="0"/>
          <w:sz w:val="21"/>
        </w:rPr>
      </w:pPr>
      <w:r>
        <w:rPr>
          <w:rFonts w:ascii="宋体" w:hAnsi="宋体" w:cs="宋体"/>
          <w:b w:val="0"/>
          <w:sz w:val="21"/>
        </w:rPr>
        <w:t>核准后办理相关手续。</w:t>
      </w:r>
      <w:r>
        <w:rPr>
          <w:rFonts w:ascii="宋体" w:hAnsi="宋体" w:cs="宋体"/>
          <w:b w:val="0"/>
          <w:sz w:val="21"/>
        </w:rPr>
        <w:br w:type="textWrapping"/>
      </w:r>
      <w:r>
        <w:rPr>
          <w:rFonts w:ascii="宋体" w:hAnsi="宋体" w:cs="宋体"/>
          <w:b w:val="0"/>
          <w:sz w:val="21"/>
        </w:rPr>
        <w:t>（五）外来车辆应凭审批手续并由监狱警察带领或监狱指定人员驾驶，方可进出监管区大门。</w:t>
      </w:r>
      <w:r>
        <w:rPr>
          <w:rFonts w:ascii="宋体" w:hAnsi="宋体" w:cs="宋体"/>
          <w:b w:val="0"/>
          <w:sz w:val="21"/>
        </w:rPr>
        <w:br w:type="textWrapping"/>
      </w:r>
      <w:r>
        <w:rPr>
          <w:rFonts w:ascii="宋体" w:hAnsi="宋体" w:cs="宋体"/>
          <w:b w:val="0"/>
          <w:sz w:val="21"/>
        </w:rPr>
        <w:t>（六）所有进出监管区大门的人员、车辆和物品应接受监门警察和监门哨兵的检查，凭通行证件或经</w:t>
      </w:r>
    </w:p>
    <w:p>
      <w:pPr>
        <w:pStyle w:val="2"/>
        <w:keepNext w:val="0"/>
        <w:keepLines w:val="0"/>
        <w:pageBreakBefore w:val="0"/>
        <w:widowControl w:val="0"/>
        <w:kinsoku/>
        <w:wordWrap/>
        <w:overflowPunct/>
        <w:topLinePunct w:val="0"/>
        <w:autoSpaceDE/>
        <w:autoSpaceDN/>
        <w:bidi w:val="0"/>
        <w:spacing w:line="360" w:lineRule="auto"/>
        <w:ind w:left="210" w:leftChars="0" w:firstLine="0" w:firstLineChars="0"/>
        <w:jc w:val="left"/>
        <w:textAlignment w:val="auto"/>
        <w:rPr>
          <w:rFonts w:hint="eastAsia" w:ascii="宋体" w:hAnsi="宋体" w:cs="宋体"/>
          <w:b w:val="0"/>
          <w:sz w:val="21"/>
        </w:rPr>
      </w:pPr>
      <w:r>
        <w:rPr>
          <w:rFonts w:ascii="宋体" w:hAnsi="宋体" w:cs="宋体"/>
          <w:b w:val="0"/>
          <w:sz w:val="21"/>
        </w:rPr>
        <w:t>监狱审批的手续，人证相符、手续齐全方可进出监管区大门。</w:t>
      </w:r>
      <w:r>
        <w:rPr>
          <w:rFonts w:ascii="宋体" w:hAnsi="宋体" w:cs="宋体"/>
          <w:b w:val="0"/>
          <w:sz w:val="21"/>
        </w:rPr>
        <w:br w:type="textWrapping"/>
      </w:r>
      <w:r>
        <w:rPr>
          <w:rFonts w:ascii="宋体" w:hAnsi="宋体" w:cs="宋体"/>
          <w:b w:val="0"/>
          <w:sz w:val="21"/>
        </w:rPr>
        <w:t>（七）外来人员进出监管区大门必须遵守《广东省监狱监管区大门管理规定（试行）》。凭有效身份证件</w:t>
      </w:r>
    </w:p>
    <w:p>
      <w:pPr>
        <w:pStyle w:val="2"/>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eastAsia" w:ascii="Cambria" w:hAnsi="Cambria"/>
          <w:b/>
          <w:bCs/>
          <w:sz w:val="32"/>
          <w:szCs w:val="32"/>
        </w:rPr>
        <w:sectPr>
          <w:pgSz w:w="11906" w:h="16838"/>
          <w:pgMar w:top="1440" w:right="1080" w:bottom="1440" w:left="1080" w:header="851" w:footer="992" w:gutter="0"/>
          <w:cols w:space="720" w:num="1"/>
          <w:docGrid w:type="lines" w:linePitch="312" w:charSpace="0"/>
        </w:sectPr>
      </w:pPr>
      <w:r>
        <w:rPr>
          <w:rFonts w:ascii="宋体" w:hAnsi="宋体" w:cs="宋体"/>
          <w:b w:val="0"/>
          <w:sz w:val="21"/>
        </w:rPr>
        <w:t>办理《外来人员通行证》或《外来人员临时通行证》，由监狱相关部门警察带入带出，并接受监门武警和值班警察的检查管理。</w:t>
      </w:r>
      <w:r>
        <w:rPr>
          <w:rFonts w:ascii="宋体" w:hAnsi="宋体" w:cs="宋体"/>
          <w:b w:val="0"/>
          <w:sz w:val="21"/>
        </w:rPr>
        <w:br w:type="textWrapping"/>
      </w:r>
      <w:r>
        <w:rPr>
          <w:rFonts w:ascii="宋体" w:hAnsi="宋体" w:cs="宋体"/>
          <w:b w:val="0"/>
          <w:sz w:val="21"/>
        </w:rPr>
        <w:t>（八）外来人员不得携带违禁品、违规品、危险品等可能影响监管安全的物品进入监管区，进入监管区时必须按规定将移动电话等物品保管在贮物箱。</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违禁品是指枪支弹药、通讯设备、现金、刀具、毒品、麻醉及精神药品、军警制服、便服、假发、反动、淫秽宣传制品等物品；</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违规品是指含有酒精的饮品、火种及可用作点火的可燃物品、身份类证件、绳索及可用作绳索的生产原材料、半成品、成品、玻璃陶瓷类制品及含有玻璃制品的物品、绝缘物品、燃料炊具和电炊具等物品；</w:t>
      </w:r>
      <w:r>
        <w:rPr>
          <w:rFonts w:ascii="宋体" w:hAnsi="宋体" w:cs="宋体"/>
          <w:b w:val="0"/>
          <w:sz w:val="21"/>
        </w:rPr>
        <w:br w:type="textWrapping"/>
      </w:r>
      <w:r>
        <w:rPr>
          <w:rFonts w:ascii="宋体" w:hAnsi="宋体" w:cs="宋体"/>
          <w:b w:val="0"/>
          <w:sz w:val="21"/>
        </w:rPr>
        <w:t>危险品是指钝器、攀高物、易燃易爆、剧毒、放射、腐蚀性等物品。</w:t>
      </w:r>
      <w:r>
        <w:rPr>
          <w:rFonts w:ascii="宋体" w:hAnsi="宋体" w:cs="宋体"/>
          <w:b w:val="0"/>
          <w:sz w:val="21"/>
        </w:rPr>
        <w:br w:type="textWrapping"/>
      </w:r>
      <w:r>
        <w:rPr>
          <w:rFonts w:ascii="宋体" w:hAnsi="宋体" w:cs="宋体"/>
          <w:b w:val="0"/>
          <w:sz w:val="21"/>
        </w:rPr>
        <w:t>（九）外来人员进入监管区大门后，必须将《外来人员通行证》或《外来人员临时通行证》挂于胸前，并妥善保管。</w:t>
      </w:r>
      <w:r>
        <w:rPr>
          <w:rFonts w:ascii="宋体" w:hAnsi="宋体" w:cs="宋体"/>
          <w:b w:val="0"/>
          <w:sz w:val="21"/>
        </w:rPr>
        <w:br w:type="textWrapping"/>
      </w:r>
      <w:r>
        <w:rPr>
          <w:rFonts w:ascii="宋体" w:hAnsi="宋体" w:cs="宋体"/>
          <w:b w:val="0"/>
          <w:sz w:val="21"/>
        </w:rPr>
        <w:t>（十）外来人员在监管区内必须遵守监狱的下列规定：</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1、不得擅自与服刑人员接触，与服刑人员认老乡、攀亲结友；</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2、不得为服刑人员传带、保管任何物品； </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3、不得为服刑人员邮寄信件、捎口信或替服刑人员打电话；</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4、不得在监管区拍照、摄像或录音；</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5、不得在监管区内随意走动，非经许可不得进入监舍区；</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6、不得与服刑人员交谈业务以外的内容；</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7、不得散布不利于服刑人员改造的言论；</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8、不得干涉、干扰监狱对服刑人员的执法活动；</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9、不得破坏监狱设施；</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10、患有传染性疾病的外来人员严禁进入监管区；</w:t>
      </w:r>
      <w:r>
        <w:rPr>
          <w:rFonts w:ascii="宋体" w:hAnsi="宋体" w:cs="宋体"/>
          <w:b w:val="0"/>
          <w:sz w:val="21"/>
        </w:rPr>
        <w:br w:type="textWrapping"/>
      </w:r>
      <w:r>
        <w:rPr>
          <w:rFonts w:hint="eastAsia" w:ascii="宋体" w:hAnsi="宋体" w:cs="宋体"/>
          <w:b w:val="0"/>
          <w:sz w:val="21"/>
        </w:rPr>
        <w:t xml:space="preserve">     </w:t>
      </w:r>
      <w:r>
        <w:rPr>
          <w:rFonts w:ascii="宋体" w:hAnsi="宋体" w:cs="宋体"/>
          <w:b w:val="0"/>
          <w:sz w:val="21"/>
        </w:rPr>
        <w:t>11、不得向无关人员谈及监狱工作秘密，或从事其它有碍监管安全的行为。</w:t>
      </w:r>
      <w:r>
        <w:rPr>
          <w:rFonts w:ascii="宋体" w:hAnsi="宋体" w:cs="宋体"/>
          <w:b w:val="0"/>
          <w:sz w:val="21"/>
        </w:rPr>
        <w:br w:type="textWrapping"/>
      </w:r>
      <w:r>
        <w:rPr>
          <w:rFonts w:ascii="宋体" w:hAnsi="宋体" w:cs="宋体"/>
          <w:b w:val="0"/>
          <w:sz w:val="21"/>
        </w:rPr>
        <w:t>（十一）外来车辆应按指定位置停放并熄火，拔下钥匙，锁紧车门窗。所有车辆在当天21时前应驶离监管区。</w:t>
      </w:r>
      <w:r>
        <w:rPr>
          <w:rFonts w:ascii="宋体" w:hAnsi="宋体" w:cs="宋体"/>
          <w:b w:val="0"/>
          <w:sz w:val="21"/>
        </w:rPr>
        <w:br w:type="textWrapping"/>
      </w:r>
      <w:r>
        <w:rPr>
          <w:rFonts w:ascii="宋体" w:hAnsi="宋体" w:cs="宋体"/>
          <w:b w:val="0"/>
          <w:sz w:val="21"/>
        </w:rPr>
        <w:t>（十二）外来人员若违反本管理规定，监狱将责成</w:t>
      </w:r>
      <w:r>
        <w:rPr>
          <w:rFonts w:hint="eastAsia" w:ascii="宋体" w:hAnsi="宋体" w:cs="宋体"/>
          <w:b w:val="0"/>
          <w:sz w:val="21"/>
        </w:rPr>
        <w:t>成交供应商</w:t>
      </w:r>
      <w:r>
        <w:rPr>
          <w:rFonts w:ascii="宋体" w:hAnsi="宋体" w:cs="宋体"/>
          <w:b w:val="0"/>
          <w:sz w:val="21"/>
        </w:rPr>
        <w:t>将其解聘、辞退或调离，严禁其再次进入监管区，有违法行为的送司法机关处理</w:t>
      </w:r>
      <w:r>
        <w:rPr>
          <w:rFonts w:hint="eastAsia" w:ascii="宋体" w:hAnsi="宋体" w:cs="宋体"/>
          <w:b w:val="0"/>
          <w:sz w:val="21"/>
        </w:rPr>
        <w:t>。</w:t>
      </w:r>
      <w:bookmarkEnd w:id="0"/>
      <w:bookmarkEnd w:id="1"/>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A63E7"/>
    <w:multiLevelType w:val="singleLevel"/>
    <w:tmpl w:val="F33A63E7"/>
    <w:lvl w:ilvl="0" w:tentative="0">
      <w:start w:val="1"/>
      <w:numFmt w:val="chineseCounting"/>
      <w:suff w:val="nothing"/>
      <w:lvlText w:val="（%1）"/>
      <w:lvlJc w:val="left"/>
      <w:rPr>
        <w:rFonts w:hint="eastAsia"/>
      </w:rPr>
    </w:lvl>
  </w:abstractNum>
  <w:abstractNum w:abstractNumId="1">
    <w:nsid w:val="1F3F7B21"/>
    <w:multiLevelType w:val="multilevel"/>
    <w:tmpl w:val="1F3F7B21"/>
    <w:lvl w:ilvl="0" w:tentative="0">
      <w:start w:val="1"/>
      <w:numFmt w:val="japaneseCounting"/>
      <w:lvlText w:val="%1、"/>
      <w:lvlJc w:val="left"/>
      <w:pPr>
        <w:ind w:left="592" w:hanging="450"/>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ZTAxY2NjMjg4NWY0NWM3NGU3NDAzOGYyNDU3NzAifQ=="/>
  </w:docVars>
  <w:rsids>
    <w:rsidRoot w:val="5E954A21"/>
    <w:rsid w:val="050A14E8"/>
    <w:rsid w:val="0E17037F"/>
    <w:rsid w:val="2DAD7E7B"/>
    <w:rsid w:val="35EB71ED"/>
    <w:rsid w:val="4F281003"/>
    <w:rsid w:val="58BB44B6"/>
    <w:rsid w:val="58F06D67"/>
    <w:rsid w:val="5E954A21"/>
    <w:rsid w:val="6C096E3F"/>
    <w:rsid w:val="7B930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bCs/>
      <w:caps/>
      <w:sz w:val="20"/>
      <w:szCs w:val="20"/>
    </w:rPr>
  </w:style>
  <w:style w:type="paragraph" w:styleId="3">
    <w:name w:val="Plain Text"/>
    <w:basedOn w:val="1"/>
    <w:qFormat/>
    <w:uiPriority w:val="0"/>
    <w:rPr>
      <w:rFonts w:ascii="宋体" w:hAnsi="Courier New"/>
      <w:kern w:val="0"/>
      <w:sz w:val="20"/>
      <w:szCs w:val="21"/>
    </w:rPr>
  </w:style>
  <w:style w:type="paragraph" w:styleId="4">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2308</Words>
  <Characters>2373</Characters>
  <Lines>0</Lines>
  <Paragraphs>0</Paragraphs>
  <TotalTime>1</TotalTime>
  <ScaleCrop>false</ScaleCrop>
  <LinksUpToDate>false</LinksUpToDate>
  <CharactersWithSpaces>2439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2023-07-24T07:46:00Z</dcterms:created>
  <dc:creator>rain</dc:creator>
  <cp:lastModifiedBy>吴润蕾</cp:lastModifiedBy>
  <dcterms:modified xsi:type="dcterms:W3CDTF">2024-10-14T07:07:58Z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A584FDA3CA364ED3A3CF7D50B700F896</vt:lpwstr>
  </property>
</Properties>
</file>