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附件4：</w:t>
      </w:r>
    </w:p>
    <w:p>
      <w:pPr>
        <w:pStyle w:val="7"/>
      </w:pPr>
      <w:r>
        <w:t>报价表</w:t>
      </w:r>
    </w:p>
    <w:tbl>
      <w:tblPr>
        <w:tblStyle w:val="10"/>
        <w:tblW w:w="9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2396"/>
        <w:gridCol w:w="2720"/>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670" w:type="dxa"/>
            <w:vAlign w:val="center"/>
          </w:tcPr>
          <w:p>
            <w:pPr>
              <w:adjustRightInd w:val="0"/>
              <w:snapToGrid w:val="0"/>
              <w:spacing w:line="280" w:lineRule="exact"/>
              <w:jc w:val="center"/>
              <w:rPr>
                <w:rFonts w:hint="eastAsia" w:ascii="宋体" w:hAnsi="宋体" w:cs="宋体"/>
                <w:b/>
                <w:bCs/>
                <w:color w:val="000000"/>
                <w:sz w:val="24"/>
              </w:rPr>
            </w:pPr>
            <w:r>
              <w:rPr>
                <w:rFonts w:hint="eastAsia" w:ascii="宋体" w:hAnsi="宋体" w:cs="宋体"/>
                <w:b/>
                <w:bCs/>
                <w:color w:val="000000"/>
                <w:sz w:val="24"/>
              </w:rPr>
              <w:t>采购项目名称</w:t>
            </w:r>
          </w:p>
        </w:tc>
        <w:tc>
          <w:tcPr>
            <w:tcW w:w="2396" w:type="dxa"/>
            <w:vAlign w:val="center"/>
          </w:tcPr>
          <w:p>
            <w:pPr>
              <w:adjustRightInd w:val="0"/>
              <w:snapToGrid w:val="0"/>
              <w:spacing w:line="280" w:lineRule="exact"/>
              <w:jc w:val="center"/>
              <w:rPr>
                <w:rFonts w:ascii="宋体" w:hAnsi="宋体" w:cs="宋体"/>
                <w:b/>
                <w:bCs/>
                <w:color w:val="000000"/>
                <w:sz w:val="24"/>
              </w:rPr>
            </w:pPr>
            <w:r>
              <w:rPr>
                <w:rFonts w:hint="eastAsia" w:ascii="宋体" w:hAnsi="宋体" w:cs="宋体"/>
                <w:color w:val="000000"/>
                <w:sz w:val="24"/>
              </w:rPr>
              <w:t>投标</w:t>
            </w:r>
            <w:r>
              <w:rPr>
                <w:rFonts w:hint="eastAsia" w:ascii="宋体" w:hAnsi="宋体" w:cs="宋体"/>
                <w:color w:val="000000"/>
                <w:sz w:val="24"/>
                <w:lang w:eastAsia="zh-CN"/>
              </w:rPr>
              <w:t>下浮率</w:t>
            </w:r>
            <w:r>
              <w:rPr>
                <w:rFonts w:hint="eastAsia" w:ascii="宋体" w:hAnsi="宋体" w:cs="宋体"/>
                <w:b/>
                <w:bCs/>
                <w:color w:val="000000"/>
                <w:sz w:val="24"/>
              </w:rPr>
              <w:t>（</w:t>
            </w:r>
            <w:r>
              <w:rPr>
                <w:rFonts w:hint="eastAsia" w:ascii="仿宋_GB2312" w:eastAsia="仿宋_GB2312"/>
                <w:color w:val="000000"/>
                <w:sz w:val="28"/>
                <w:szCs w:val="28"/>
              </w:rPr>
              <w:t>%</w:t>
            </w:r>
            <w:r>
              <w:rPr>
                <w:rFonts w:hint="eastAsia" w:ascii="宋体" w:hAnsi="宋体" w:cs="宋体"/>
                <w:b/>
                <w:bCs/>
                <w:color w:val="000000"/>
                <w:sz w:val="24"/>
              </w:rPr>
              <w:t>）</w:t>
            </w:r>
          </w:p>
        </w:tc>
        <w:tc>
          <w:tcPr>
            <w:tcW w:w="2720" w:type="dxa"/>
            <w:vAlign w:val="center"/>
          </w:tcPr>
          <w:p>
            <w:pPr>
              <w:adjustRightInd w:val="0"/>
              <w:snapToGrid w:val="0"/>
              <w:spacing w:line="280" w:lineRule="exact"/>
              <w:jc w:val="center"/>
              <w:rPr>
                <w:rFonts w:hint="default" w:ascii="宋体" w:eastAsia="宋体"/>
                <w:b/>
                <w:color w:val="000000"/>
                <w:sz w:val="24"/>
                <w:lang w:val="en-US" w:eastAsia="zh-CN"/>
              </w:rPr>
            </w:pPr>
            <w:r>
              <w:rPr>
                <w:rFonts w:hint="eastAsia" w:ascii="宋体"/>
                <w:b/>
                <w:color w:val="000000"/>
                <w:sz w:val="24"/>
                <w:lang w:val="en-US" w:eastAsia="zh-CN"/>
              </w:rPr>
              <w:t>增值税税率</w:t>
            </w:r>
            <w:r>
              <w:rPr>
                <w:rFonts w:hint="eastAsia" w:ascii="宋体" w:hAnsi="宋体" w:cs="宋体"/>
                <w:b/>
                <w:bCs/>
                <w:color w:val="000000"/>
                <w:sz w:val="24"/>
              </w:rPr>
              <w:t>（</w:t>
            </w:r>
            <w:r>
              <w:rPr>
                <w:rFonts w:hint="eastAsia" w:ascii="仿宋_GB2312" w:eastAsia="仿宋_GB2312"/>
                <w:color w:val="000000"/>
                <w:sz w:val="28"/>
                <w:szCs w:val="28"/>
              </w:rPr>
              <w:t>%</w:t>
            </w:r>
            <w:r>
              <w:rPr>
                <w:rFonts w:hint="eastAsia" w:ascii="宋体" w:hAnsi="宋体" w:cs="宋体"/>
                <w:b/>
                <w:bCs/>
                <w:color w:val="000000"/>
                <w:sz w:val="24"/>
              </w:rPr>
              <w:t>）</w:t>
            </w:r>
          </w:p>
        </w:tc>
        <w:tc>
          <w:tcPr>
            <w:tcW w:w="1647" w:type="dxa"/>
            <w:vAlign w:val="center"/>
          </w:tcPr>
          <w:p>
            <w:pPr>
              <w:adjustRightInd w:val="0"/>
              <w:snapToGrid w:val="0"/>
              <w:spacing w:line="280" w:lineRule="exact"/>
              <w:jc w:val="center"/>
              <w:rPr>
                <w:rFonts w:hint="eastAsia" w:ascii="宋体" w:hAnsi="宋体" w:cs="宋体" w:eastAsiaTheme="minorEastAsia"/>
                <w:b/>
                <w:bCs/>
                <w:color w:val="000000"/>
                <w:sz w:val="24"/>
                <w:lang w:eastAsia="zh-CN"/>
              </w:rPr>
            </w:pPr>
            <w:r>
              <w:rPr>
                <w:rFonts w:hint="eastAsia" w:ascii="宋体"/>
                <w:b/>
                <w:color w:val="00000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3" w:hRule="atLeast"/>
        </w:trPr>
        <w:tc>
          <w:tcPr>
            <w:tcW w:w="2670" w:type="dxa"/>
            <w:vMerge w:val="restart"/>
            <w:vAlign w:val="center"/>
          </w:tcPr>
          <w:p>
            <w:pPr>
              <w:adjustRightInd w:val="0"/>
              <w:snapToGrid w:val="0"/>
              <w:spacing w:line="360" w:lineRule="auto"/>
              <w:jc w:val="left"/>
              <w:rPr>
                <w:rFonts w:hint="eastAsia" w:ascii="宋体" w:hAnsi="宋体" w:cs="宋体"/>
                <w:color w:val="000000"/>
                <w:sz w:val="24"/>
              </w:rPr>
            </w:pPr>
            <w:r>
              <w:rPr>
                <w:rFonts w:hint="eastAsia" w:ascii="仿宋_GB2312" w:hAnsi="仿宋_GB2312" w:eastAsia="仿宋_GB2312" w:cs="仿宋_GB2312"/>
                <w:sz w:val="24"/>
                <w:szCs w:val="24"/>
              </w:rPr>
              <w:t>广东省广裕集团韶关韶城实业有限责任公司厂房环保空调水冷风机维保项目</w:t>
            </w:r>
            <w:r>
              <w:rPr>
                <w:rFonts w:hint="eastAsia" w:ascii="仿宋_GB2312" w:hAnsi="仿宋_GB2312" w:eastAsia="仿宋_GB2312" w:cs="仿宋_GB2312"/>
                <w:color w:val="000000"/>
                <w:sz w:val="24"/>
                <w:szCs w:val="24"/>
                <w:lang w:val="zh-CN"/>
              </w:rPr>
              <w:t xml:space="preserve"> </w:t>
            </w:r>
          </w:p>
        </w:tc>
        <w:tc>
          <w:tcPr>
            <w:tcW w:w="2396" w:type="dxa"/>
            <w:vMerge w:val="restart"/>
            <w:vAlign w:val="center"/>
          </w:tcPr>
          <w:p>
            <w:pPr>
              <w:adjustRightInd w:val="0"/>
              <w:snapToGrid w:val="0"/>
              <w:spacing w:line="360" w:lineRule="auto"/>
              <w:ind w:firstLine="960" w:firstLineChars="400"/>
              <w:jc w:val="left"/>
              <w:rPr>
                <w:rFonts w:hint="eastAsia" w:ascii="宋体" w:hAnsi="宋体" w:cs="宋体"/>
                <w:color w:val="000000"/>
                <w:sz w:val="24"/>
              </w:rPr>
            </w:pPr>
          </w:p>
        </w:tc>
        <w:tc>
          <w:tcPr>
            <w:tcW w:w="2720" w:type="dxa"/>
            <w:vAlign w:val="center"/>
          </w:tcPr>
          <w:p>
            <w:pPr>
              <w:adjustRightInd w:val="0"/>
              <w:snapToGrid w:val="0"/>
              <w:spacing w:line="360" w:lineRule="auto"/>
              <w:jc w:val="both"/>
              <w:rPr>
                <w:rFonts w:hint="eastAsia" w:ascii="宋体" w:hAnsi="宋体" w:cs="宋体" w:eastAsiaTheme="minorEastAsia"/>
                <w:color w:val="000000"/>
                <w:sz w:val="24"/>
                <w:lang w:val="en-US" w:eastAsia="zh-CN"/>
              </w:rPr>
            </w:pPr>
            <w:r>
              <w:rPr>
                <w:rFonts w:hint="eastAsia" w:ascii="宋体" w:hAnsi="宋体" w:cs="宋体"/>
                <w:color w:val="000000"/>
                <w:sz w:val="24"/>
                <w:lang w:val="en-US" w:eastAsia="zh-CN"/>
              </w:rPr>
              <w:t>维保服务税率：</w:t>
            </w:r>
          </w:p>
        </w:tc>
        <w:tc>
          <w:tcPr>
            <w:tcW w:w="1647" w:type="dxa"/>
            <w:vMerge w:val="restart"/>
            <w:vAlign w:val="center"/>
          </w:tcPr>
          <w:p>
            <w:pPr>
              <w:adjustRightInd w:val="0"/>
              <w:snapToGrid w:val="0"/>
              <w:spacing w:line="360" w:lineRule="auto"/>
              <w:jc w:val="left"/>
              <w:rPr>
                <w:rFonts w:hint="eastAsia" w:ascii="宋体" w:hAnsi="宋体" w:eastAsia="宋体" w:cs="宋体"/>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3" w:hRule="atLeast"/>
        </w:trPr>
        <w:tc>
          <w:tcPr>
            <w:tcW w:w="2670" w:type="dxa"/>
            <w:vMerge w:val="continue"/>
            <w:vAlign w:val="center"/>
          </w:tcPr>
          <w:p>
            <w:pPr>
              <w:adjustRightInd w:val="0"/>
              <w:snapToGrid w:val="0"/>
              <w:spacing w:line="360" w:lineRule="auto"/>
              <w:ind w:firstLine="660" w:firstLineChars="300"/>
              <w:jc w:val="left"/>
            </w:pPr>
          </w:p>
        </w:tc>
        <w:tc>
          <w:tcPr>
            <w:tcW w:w="2396" w:type="dxa"/>
            <w:vMerge w:val="continue"/>
            <w:vAlign w:val="center"/>
          </w:tcPr>
          <w:p>
            <w:pPr>
              <w:adjustRightInd w:val="0"/>
              <w:snapToGrid w:val="0"/>
              <w:spacing w:line="360" w:lineRule="auto"/>
              <w:ind w:firstLine="660" w:firstLineChars="300"/>
              <w:jc w:val="left"/>
            </w:pPr>
          </w:p>
        </w:tc>
        <w:tc>
          <w:tcPr>
            <w:tcW w:w="2720" w:type="dxa"/>
            <w:vAlign w:val="center"/>
          </w:tcPr>
          <w:p>
            <w:pPr>
              <w:adjustRightInd w:val="0"/>
              <w:snapToGrid w:val="0"/>
              <w:spacing w:line="360" w:lineRule="auto"/>
              <w:jc w:val="both"/>
              <w:rPr>
                <w:rFonts w:hint="eastAsia" w:ascii="宋体" w:hAnsi="宋体" w:cs="宋体"/>
                <w:color w:val="000000"/>
                <w:sz w:val="24"/>
                <w:lang w:eastAsia="zh-CN"/>
              </w:rPr>
            </w:pPr>
            <w:r>
              <w:rPr>
                <w:rFonts w:hint="eastAsia" w:ascii="宋体" w:hAnsi="宋体" w:cs="宋体"/>
                <w:color w:val="000000"/>
                <w:sz w:val="24"/>
                <w:lang w:eastAsia="zh-CN"/>
              </w:rPr>
              <w:t>零配件税率：</w:t>
            </w:r>
          </w:p>
        </w:tc>
        <w:tc>
          <w:tcPr>
            <w:tcW w:w="1647" w:type="dxa"/>
            <w:vMerge w:val="continue"/>
            <w:vAlign w:val="center"/>
          </w:tcPr>
          <w:p>
            <w:pPr>
              <w:adjustRightInd w:val="0"/>
              <w:snapToGrid w:val="0"/>
              <w:spacing w:line="360" w:lineRule="auto"/>
              <w:ind w:firstLine="720" w:firstLineChars="300"/>
              <w:jc w:val="left"/>
              <w:rPr>
                <w:rFonts w:hint="eastAsia" w:ascii="宋体" w:hAnsi="宋体" w:cs="宋体"/>
                <w:color w:val="000000"/>
                <w:sz w:val="24"/>
                <w:lang w:eastAsia="zh-CN"/>
              </w:rPr>
            </w:pPr>
          </w:p>
        </w:tc>
      </w:tr>
    </w:tbl>
    <w:p>
      <w:bookmarkStart w:id="0" w:name="_GoBack"/>
      <w:bookmarkEnd w:id="0"/>
    </w:p>
    <w:p>
      <w:pPr>
        <w:ind w:left="560" w:hanging="480" w:hangingChars="200"/>
        <w:rPr>
          <w:rFonts w:hint="eastAsia" w:ascii="宋体" w:hAnsi="宋体" w:cs="宋体"/>
          <w:sz w:val="24"/>
          <w:szCs w:val="24"/>
          <w:lang w:val="en-US" w:eastAsia="zh-CN"/>
        </w:rPr>
      </w:pPr>
      <w:r>
        <w:rPr>
          <w:rFonts w:hint="eastAsia" w:ascii="宋体" w:hAnsi="宋体" w:eastAsia="宋体" w:cs="宋体"/>
          <w:sz w:val="24"/>
          <w:szCs w:val="24"/>
          <w:lang w:val="en-US" w:eastAsia="zh-CN"/>
        </w:rPr>
        <w:t>注</w:t>
      </w:r>
      <w:r>
        <w:rPr>
          <w:rFonts w:hint="eastAsia" w:ascii="宋体" w:hAnsi="宋体" w:cs="宋体"/>
          <w:sz w:val="24"/>
          <w:szCs w:val="24"/>
          <w:lang w:val="en-US" w:eastAsia="zh-CN"/>
        </w:rPr>
        <w:t>：</w:t>
      </w:r>
    </w:p>
    <w:p>
      <w:pPr>
        <w:numPr>
          <w:ilvl w:val="0"/>
          <w:numId w:val="1"/>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供应商必须按报价表的格式填写</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不得增加或删减表格内容</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除投标下浮率、增值税税率或项目要求填写的内容外</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不得擅自改动报价表内容，否则将有可能影响成交结果，不推荐为成交候选人。</w:t>
      </w:r>
      <w:r>
        <w:rPr>
          <w:rFonts w:hint="eastAsia" w:ascii="宋体" w:hAnsi="宋体" w:eastAsia="宋体" w:cs="宋体"/>
          <w:sz w:val="24"/>
          <w:szCs w:val="24"/>
          <w:lang w:val="en-US" w:eastAsia="zh-CN"/>
        </w:rPr>
        <w:br w:type="textWrapping"/>
      </w:r>
      <w:r>
        <w:rPr>
          <w:rFonts w:hint="eastAsia" w:ascii="宋体" w:hAnsi="宋体" w:cs="宋体"/>
          <w:sz w:val="24"/>
          <w:szCs w:val="24"/>
          <w:lang w:val="en-US" w:eastAsia="zh-CN"/>
        </w:rPr>
        <w:t xml:space="preserve">2. </w:t>
      </w:r>
      <w:r>
        <w:rPr>
          <w:rFonts w:hint="eastAsia" w:ascii="宋体" w:hAnsi="宋体" w:eastAsia="宋体" w:cs="宋体"/>
          <w:sz w:val="24"/>
          <w:szCs w:val="24"/>
          <w:lang w:val="en-US" w:eastAsia="zh-CN"/>
        </w:rPr>
        <w:t>报价应包含国家规定的税费，公司报价不得超过最高限价。</w:t>
      </w:r>
      <w:r>
        <w:rPr>
          <w:rFonts w:hint="eastAsia" w:ascii="宋体" w:hAnsi="宋体" w:eastAsia="宋体" w:cs="宋体"/>
          <w:sz w:val="24"/>
          <w:szCs w:val="24"/>
          <w:lang w:val="en-US" w:eastAsia="zh-CN"/>
        </w:rPr>
        <w:br w:type="textWrapping"/>
      </w:r>
      <w:r>
        <w:rPr>
          <w:rFonts w:hint="eastAsia" w:ascii="宋体" w:hAnsi="宋体" w:cs="宋体"/>
          <w:sz w:val="24"/>
          <w:szCs w:val="24"/>
          <w:lang w:val="en-US" w:eastAsia="zh-CN"/>
        </w:rPr>
        <w:t xml:space="preserve">3. </w:t>
      </w:r>
      <w:r>
        <w:rPr>
          <w:rFonts w:hint="eastAsia" w:ascii="宋体" w:hAnsi="宋体" w:eastAsia="宋体" w:cs="宋体"/>
          <w:sz w:val="24"/>
          <w:szCs w:val="24"/>
          <w:lang w:val="en-US" w:eastAsia="zh-CN"/>
        </w:rPr>
        <w:t>报价表必须加盖单位公章，否则视为无效报价。</w:t>
      </w:r>
    </w:p>
    <w:p>
      <w:pPr>
        <w:numPr>
          <w:ilvl w:val="0"/>
          <w:numId w:val="2"/>
        </w:numPr>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报价采用投报“统一下浮率（%）”的方式，即报价=单价最高限价×（1-投标下                                  浮率（%）），不需要每一个项目都各报一个下浮率”，而是所有项目报同一个下浮率。</w:t>
      </w:r>
      <w:r>
        <w:rPr>
          <w:rFonts w:hint="eastAsia" w:ascii="宋体" w:hAnsi="宋体" w:eastAsia="宋体" w:cs="宋体"/>
          <w:sz w:val="24"/>
          <w:szCs w:val="24"/>
          <w:lang w:val="en-US" w:eastAsia="zh-CN"/>
        </w:rPr>
        <w:br w:type="textWrapping"/>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联系人：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联系电话：</w:t>
      </w:r>
    </w:p>
    <w:p>
      <w:pPr>
        <w:rPr>
          <w:rFonts w:hint="eastAsia" w:ascii="宋体" w:hAnsi="宋体" w:eastAsia="宋体" w:cs="宋体"/>
          <w:sz w:val="24"/>
          <w:szCs w:val="24"/>
          <w:lang w:val="en-US" w:eastAsia="zh-CN"/>
        </w:rPr>
      </w:pPr>
    </w:p>
    <w:p>
      <w:pPr>
        <w:pStyle w:val="2"/>
        <w:rPr>
          <w:rFonts w:hint="eastAsia"/>
          <w:lang w:val="en-US" w:eastAsia="zh-CN"/>
        </w:rPr>
      </w:pPr>
    </w:p>
    <w:p>
      <w:pPr>
        <w:ind w:firstLine="3840" w:firstLineChars="16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供应商名称（单位盖公章）：</w:t>
      </w:r>
    </w:p>
    <w:p>
      <w:pPr>
        <w:ind w:firstLine="4320" w:firstLineChars="1800"/>
        <w:rPr>
          <w:rFonts w:hint="eastAsia" w:ascii="宋体" w:hAnsi="宋体" w:eastAsia="宋体" w:cs="宋体"/>
          <w:sz w:val="24"/>
          <w:szCs w:val="24"/>
          <w:lang w:val="en-US" w:eastAsia="zh-CN"/>
        </w:rPr>
      </w:pPr>
    </w:p>
    <w:p>
      <w:pPr>
        <w:ind w:firstLine="4080" w:firstLineChars="1700"/>
      </w:pPr>
      <w:r>
        <w:rPr>
          <w:rFonts w:hint="eastAsia" w:ascii="宋体" w:hAnsi="宋体" w:eastAsia="宋体" w:cs="宋体"/>
          <w:sz w:val="24"/>
          <w:szCs w:val="24"/>
          <w:lang w:val="en-US" w:eastAsia="zh-CN"/>
        </w:rPr>
        <w:t xml:space="preserve"> 日期：</w:t>
      </w:r>
      <w:r>
        <w:rPr>
          <w:rFonts w:hint="eastAsia" w:ascii="宋体" w:hAnsi="宋体" w:eastAsia="宋体" w:cs="宋体"/>
          <w:sz w:val="24"/>
          <w:szCs w:val="24"/>
          <w:lang w:val="en-US" w:eastAsia="zh-CN"/>
        </w:rPr>
        <w:br w:type="textWrapping"/>
      </w:r>
    </w:p>
    <w:sectPr>
      <w:headerReference r:id="rId3" w:type="default"/>
      <w:footerReference r:id="rId4" w:type="default"/>
      <w:pgSz w:w="11905" w:h="16838"/>
      <w:pgMar w:top="1361" w:right="1417" w:bottom="1361" w:left="1417"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onaco">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0BE3D9"/>
    <w:multiLevelType w:val="singleLevel"/>
    <w:tmpl w:val="9D0BE3D9"/>
    <w:lvl w:ilvl="0" w:tentative="0">
      <w:start w:val="1"/>
      <w:numFmt w:val="decimal"/>
      <w:suff w:val="space"/>
      <w:lvlText w:val="%1."/>
      <w:lvlJc w:val="left"/>
    </w:lvl>
  </w:abstractNum>
  <w:abstractNum w:abstractNumId="1">
    <w:nsid w:val="E4D9C972"/>
    <w:multiLevelType w:val="singleLevel"/>
    <w:tmpl w:val="E4D9C972"/>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8BC3EA4"/>
    <w:rsid w:val="0AC21314"/>
    <w:rsid w:val="119F4005"/>
    <w:rsid w:val="272C5F2B"/>
    <w:rsid w:val="28416EE2"/>
    <w:rsid w:val="6B4547BE"/>
    <w:rsid w:val="6E5711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before="60" w:after="60" w:line="312" w:lineRule="auto"/>
      <w:jc w:val="left"/>
    </w:pPr>
    <w:rPr>
      <w:rFonts w:asciiTheme="minorHAnsi" w:hAnsiTheme="minorHAnsi" w:eastAsiaTheme="minorEastAsia" w:cstheme="minorBidi"/>
      <w:color w:val="333333"/>
      <w:kern w:val="2"/>
      <w:sz w:val="22"/>
      <w:szCs w:val="22"/>
      <w:lang w:val="en-US" w:eastAsia="zh-CN" w:bidi="ar-SA"/>
    </w:rPr>
  </w:style>
  <w:style w:type="paragraph" w:styleId="3">
    <w:name w:val="heading 1"/>
    <w:basedOn w:val="1"/>
    <w:next w:val="1"/>
    <w:qFormat/>
    <w:uiPriority w:val="9"/>
    <w:pPr>
      <w:keepNext/>
      <w:keepLines/>
      <w:spacing w:before="0" w:after="0" w:line="408" w:lineRule="auto"/>
      <w:outlineLvl w:val="0"/>
    </w:pPr>
    <w:rPr>
      <w:b/>
      <w:bCs/>
      <w:color w:val="1A1A1A"/>
      <w:sz w:val="36"/>
      <w:szCs w:val="36"/>
    </w:rPr>
  </w:style>
  <w:style w:type="paragraph" w:styleId="4">
    <w:name w:val="heading 3"/>
    <w:basedOn w:val="1"/>
    <w:next w:val="1"/>
    <w:qFormat/>
    <w:uiPriority w:val="9"/>
    <w:pPr>
      <w:keepNext/>
      <w:keepLines/>
      <w:spacing w:before="0" w:after="0" w:line="408" w:lineRule="auto"/>
      <w:outlineLvl w:val="2"/>
    </w:pPr>
    <w:rPr>
      <w:b/>
      <w:bCs/>
      <w:color w:val="1A1A1A"/>
      <w:sz w:val="28"/>
      <w:szCs w:val="28"/>
    </w:rPr>
  </w:style>
  <w:style w:type="character" w:default="1" w:styleId="8">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next w:val="1"/>
    <w:qFormat/>
    <w:uiPriority w:val="0"/>
    <w:pPr>
      <w:jc w:val="left"/>
    </w:pPr>
  </w:style>
  <w:style w:type="paragraph" w:styleId="5">
    <w:name w:val="footer"/>
    <w:basedOn w:val="1"/>
    <w:unhideWhenUsed/>
    <w:qFormat/>
    <w:uiPriority w:val="99"/>
    <w:pPr>
      <w:tabs>
        <w:tab w:val="center" w:pos="4153"/>
        <w:tab w:val="right" w:pos="8306"/>
      </w:tabs>
      <w:snapToGrid w:val="0"/>
      <w:jc w:val="center"/>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9"/>
    <w:pPr>
      <w:keepNext/>
      <w:keepLines/>
      <w:spacing w:before="0" w:after="0" w:line="408" w:lineRule="auto"/>
      <w:jc w:val="center"/>
      <w:outlineLvl w:val="0"/>
    </w:pPr>
    <w:rPr>
      <w:b/>
      <w:bCs/>
      <w:color w:val="1A1A1A"/>
      <w:sz w:val="48"/>
      <w:szCs w:val="4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table" w:styleId="11">
    <w:name w:val="Table Grid"/>
    <w:basedOn w:val="10"/>
    <w:qFormat/>
    <w:uiPriority w:val="39"/>
    <w:tblP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Pr>
    <w:tcPr>
      <w:vAlign w:val="center"/>
    </w:tcPr>
  </w:style>
  <w:style w:type="paragraph" w:customStyle="1" w:styleId="12">
    <w:name w:val="melo-codeblock-Base-theme-para"/>
    <w:basedOn w:val="1"/>
    <w:qFormat/>
    <w:uiPriority w:val="0"/>
    <w:pPr>
      <w:spacing w:before="0" w:after="0" w:line="360" w:lineRule="auto"/>
    </w:pPr>
    <w:rPr>
      <w:rFonts w:ascii="Monaco" w:hAnsi="Monaco" w:eastAsia="Monaco" w:cs="Monaco"/>
      <w:color w:val="000000"/>
      <w:sz w:val="21"/>
    </w:rPr>
  </w:style>
  <w:style w:type="character" w:customStyle="1" w:styleId="13">
    <w:name w:val="melo-codeblock-Base-theme-char"/>
    <w:uiPriority w:val="0"/>
    <w:rPr>
      <w:rFonts w:ascii="Monaco" w:hAnsi="Monaco" w:eastAsia="Monaco" w:cs="Monaco"/>
      <w:color w:val="000000"/>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Office_10.8.2.7119_F1E327BC-269C-435d-A152-05C5408002CA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2022-10-28T10:22:00Z</dcterms:created>
  <dc:creator>lenovo</dc:creator>
  <cp:lastModifiedBy>欧俊生 </cp:lastModifiedBy>
  <dcterms:modified xsi:type="dcterms:W3CDTF">2024-04-12T06:43:33Z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