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附件4：</w:t>
      </w:r>
    </w:p>
    <w:p>
      <w:pPr>
        <w:pStyle w:val="7"/>
      </w:pPr>
      <w:r>
        <w:t>报价表</w:t>
      </w:r>
    </w:p>
    <w:tbl>
      <w:tblPr>
        <w:tblStyle w:val="10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396"/>
        <w:gridCol w:w="196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采购项目名称</w:t>
            </w:r>
          </w:p>
        </w:tc>
        <w:tc>
          <w:tcPr>
            <w:tcW w:w="23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投标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下浮率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val="en-US" w:eastAsia="zh-CN"/>
              </w:rPr>
              <w:t>增值税税率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广东省广裕集团韶关韶城实业有限责任公司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2024年度电梯维保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项目 </w:t>
            </w:r>
          </w:p>
        </w:tc>
        <w:tc>
          <w:tcPr>
            <w:tcW w:w="239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960" w:firstLineChars="4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</w:tbl>
    <w:p/>
    <w:p>
      <w:pPr>
        <w:ind w:left="560" w:hanging="480" w:hanging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供应商必须按报价表的格式填写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不得增加或删减表格内容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除单价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金额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或项目要求填写的内容外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不得擅自改动报价表内容，否则将有可能影响成交结果，不推荐为成交候选人。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报价应包含国家规定的税费，公司报价不得超过最高限价。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报价表必须加盖单位公章，否则视为无效报价。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报价采用投报“下浮率（%）”的方式，即报价=单价最高限价×（1-投标下                                  浮率（%）），不需要每一个项目都各报一个下浮率”，而是所有项目报同一个下浮率。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联系人：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2880" w:firstLineChars="1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供应商名称（单位盖公章）</w:t>
      </w:r>
    </w:p>
    <w:p>
      <w:pPr>
        <w:ind w:firstLine="4320" w:firstLineChars="18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2880" w:firstLineChars="120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sectPr>
      <w:headerReference r:id="rId3" w:type="default"/>
      <w:footerReference r:id="rId4" w:type="default"/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BE3D9"/>
    <w:multiLevelType w:val="singleLevel"/>
    <w:tmpl w:val="9D0BE3D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4D9C972"/>
    <w:multiLevelType w:val="singleLevel"/>
    <w:tmpl w:val="E4D9C972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72C5F2B"/>
    <w:rsid w:val="28416EE2"/>
    <w:rsid w:val="6E571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next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paragraph" w:customStyle="1" w:styleId="12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character" w:customStyle="1" w:styleId="13">
    <w:name w:val="melo-codeblock-Base-theme-char"/>
    <w:uiPriority w:val="0"/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2022-10-28T10:22:00Z</dcterms:created>
  <dc:creator>lenovo</dc:creator>
  <cp:lastModifiedBy>欧俊生</cp:lastModifiedBy>
  <dcterms:modified xsi:type="dcterms:W3CDTF">2024-03-14T06:30:07Z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